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FD1" w:rsidRPr="003D337E" w:rsidRDefault="00B60FD1" w:rsidP="00B60FD1">
      <w:pPr>
        <w:spacing w:after="0" w:line="240" w:lineRule="auto"/>
        <w:rPr>
          <w:rFonts w:ascii="Times New Roman" w:hAnsi="Times New Roman" w:cs="Times New Roman"/>
          <w:b/>
        </w:rPr>
      </w:pPr>
    </w:p>
    <w:p w:rsidR="00B60FD1" w:rsidRPr="003D337E" w:rsidRDefault="00B60FD1" w:rsidP="00B60FD1">
      <w:pPr>
        <w:spacing w:after="0" w:line="240" w:lineRule="auto"/>
        <w:jc w:val="center"/>
        <w:rPr>
          <w:rFonts w:ascii="Times New Roman" w:hAnsi="Times New Roman" w:cs="Times New Roman"/>
          <w:b/>
        </w:rPr>
      </w:pPr>
      <w:r w:rsidRPr="003D337E">
        <w:rPr>
          <w:rFonts w:ascii="Times New Roman" w:hAnsi="Times New Roman" w:cs="Times New Roman"/>
          <w:b/>
        </w:rPr>
        <w:tab/>
        <w:t xml:space="preserve">SOROFRATERNAL COMPLEX: AN EXPLORATION OF SIBLING RELATIONSHIPS AS A PARADIGM OF TRAGIC FLAW IN SOPHOCLES’ </w:t>
      </w:r>
      <w:r w:rsidRPr="003D337E">
        <w:rPr>
          <w:rFonts w:ascii="Times New Roman" w:hAnsi="Times New Roman" w:cs="Times New Roman"/>
          <w:b/>
          <w:i/>
        </w:rPr>
        <w:t>ANTIGONE</w:t>
      </w:r>
      <w:r w:rsidRPr="003D337E">
        <w:rPr>
          <w:rFonts w:ascii="Times New Roman" w:hAnsi="Times New Roman" w:cs="Times New Roman"/>
          <w:b/>
        </w:rPr>
        <w:t xml:space="preserve"> AND AESCHYLUS’ </w:t>
      </w:r>
      <w:r w:rsidRPr="003D337E">
        <w:rPr>
          <w:rFonts w:ascii="Times New Roman" w:hAnsi="Times New Roman" w:cs="Times New Roman"/>
          <w:b/>
          <w:i/>
        </w:rPr>
        <w:t>ORESTEIA</w:t>
      </w:r>
    </w:p>
    <w:p w:rsidR="00B60FD1" w:rsidRPr="003D337E" w:rsidRDefault="00B60FD1" w:rsidP="00B60FD1">
      <w:pPr>
        <w:spacing w:after="0" w:line="240" w:lineRule="auto"/>
        <w:jc w:val="both"/>
        <w:rPr>
          <w:rFonts w:ascii="Times New Roman" w:hAnsi="Times New Roman" w:cs="Times New Roman"/>
          <w:b/>
        </w:rPr>
      </w:pPr>
      <w:r w:rsidRPr="003D337E">
        <w:rPr>
          <w:rFonts w:ascii="Times New Roman" w:hAnsi="Times New Roman" w:cs="Times New Roman"/>
          <w:b/>
        </w:rPr>
        <w:tab/>
      </w:r>
      <w:r w:rsidRPr="003D337E">
        <w:rPr>
          <w:rFonts w:ascii="Times New Roman" w:hAnsi="Times New Roman" w:cs="Times New Roman"/>
          <w:b/>
        </w:rPr>
        <w:tab/>
      </w:r>
      <w:r w:rsidRPr="003D337E">
        <w:rPr>
          <w:rFonts w:ascii="Times New Roman" w:hAnsi="Times New Roman" w:cs="Times New Roman"/>
          <w:b/>
        </w:rPr>
        <w:tab/>
      </w:r>
    </w:p>
    <w:p w:rsidR="00B60FD1" w:rsidRPr="003D337E" w:rsidRDefault="00B60FD1" w:rsidP="00B60FD1">
      <w:pPr>
        <w:spacing w:after="0" w:line="240" w:lineRule="auto"/>
        <w:ind w:left="2880" w:firstLine="720"/>
        <w:jc w:val="both"/>
        <w:rPr>
          <w:rFonts w:ascii="Times New Roman" w:hAnsi="Times New Roman" w:cs="Times New Roman"/>
        </w:rPr>
      </w:pPr>
      <w:r w:rsidRPr="003D337E">
        <w:rPr>
          <w:rFonts w:ascii="Times New Roman" w:hAnsi="Times New Roman" w:cs="Times New Roman"/>
          <w:b/>
        </w:rPr>
        <w:t xml:space="preserve"> Oparaocha Lynda A</w:t>
      </w:r>
      <w:r w:rsidRPr="003D337E">
        <w:rPr>
          <w:rFonts w:ascii="Times New Roman" w:hAnsi="Times New Roman" w:cs="Times New Roman"/>
        </w:rPr>
        <w:t>.</w:t>
      </w:r>
    </w:p>
    <w:p w:rsidR="00B60FD1" w:rsidRPr="003D337E" w:rsidRDefault="00B60FD1" w:rsidP="00B60FD1">
      <w:pPr>
        <w:spacing w:after="0" w:line="240" w:lineRule="auto"/>
        <w:ind w:left="2160" w:firstLine="720"/>
        <w:jc w:val="both"/>
        <w:rPr>
          <w:rFonts w:ascii="Times New Roman" w:hAnsi="Times New Roman" w:cs="Times New Roman"/>
        </w:rPr>
      </w:pPr>
      <w:r w:rsidRPr="003D337E">
        <w:rPr>
          <w:rFonts w:ascii="Times New Roman" w:hAnsi="Times New Roman" w:cs="Times New Roman"/>
        </w:rPr>
        <w:t>Department of English and Literature</w:t>
      </w:r>
    </w:p>
    <w:p w:rsidR="00B60FD1" w:rsidRPr="003D337E" w:rsidRDefault="00B60FD1" w:rsidP="00B60FD1">
      <w:pPr>
        <w:spacing w:after="0" w:line="240" w:lineRule="auto"/>
        <w:ind w:left="2160" w:firstLine="720"/>
        <w:jc w:val="both"/>
        <w:rPr>
          <w:rFonts w:ascii="Times New Roman" w:hAnsi="Times New Roman" w:cs="Times New Roman"/>
        </w:rPr>
      </w:pPr>
      <w:r w:rsidRPr="003D337E">
        <w:rPr>
          <w:rFonts w:ascii="Times New Roman" w:hAnsi="Times New Roman" w:cs="Times New Roman"/>
        </w:rPr>
        <w:t>Nnamdi Azikiwe University, Akwa</w:t>
      </w:r>
    </w:p>
    <w:p w:rsidR="00B60FD1" w:rsidRPr="003D337E" w:rsidRDefault="00B60FD1" w:rsidP="00B60FD1">
      <w:pPr>
        <w:spacing w:after="0" w:line="240" w:lineRule="auto"/>
        <w:ind w:left="2160" w:firstLine="720"/>
        <w:jc w:val="both"/>
        <w:rPr>
          <w:rFonts w:ascii="Times New Roman" w:hAnsi="Times New Roman" w:cs="Times New Roman"/>
        </w:rPr>
      </w:pPr>
      <w:r w:rsidRPr="003D337E">
        <w:rPr>
          <w:rFonts w:ascii="Times New Roman" w:hAnsi="Times New Roman" w:cs="Times New Roman"/>
        </w:rPr>
        <w:tab/>
        <w:t xml:space="preserve"> 08037680824</w:t>
      </w:r>
    </w:p>
    <w:p w:rsidR="00B60FD1" w:rsidRPr="003D337E" w:rsidRDefault="00B60FD1" w:rsidP="00B60FD1">
      <w:pPr>
        <w:spacing w:after="0" w:line="240" w:lineRule="auto"/>
        <w:ind w:left="2160" w:firstLine="720"/>
        <w:jc w:val="both"/>
        <w:rPr>
          <w:rFonts w:ascii="Times New Roman" w:hAnsi="Times New Roman" w:cs="Times New Roman"/>
        </w:rPr>
      </w:pPr>
      <w:r w:rsidRPr="003D337E">
        <w:rPr>
          <w:rFonts w:ascii="Times New Roman" w:hAnsi="Times New Roman" w:cs="Times New Roman"/>
        </w:rPr>
        <w:t xml:space="preserve">    </w:t>
      </w:r>
      <w:hyperlink r:id="rId8" w:history="1">
        <w:r w:rsidRPr="003D337E">
          <w:rPr>
            <w:rStyle w:val="Hyperlink"/>
            <w:rFonts w:ascii="Times New Roman" w:hAnsi="Times New Roman" w:cs="Times New Roman"/>
            <w:color w:val="auto"/>
            <w:u w:val="none"/>
          </w:rPr>
          <w:t>lyndamara240@gmail.com</w:t>
        </w:r>
      </w:hyperlink>
    </w:p>
    <w:p w:rsidR="00B60FD1" w:rsidRPr="003D337E" w:rsidRDefault="00B60FD1" w:rsidP="00B60FD1">
      <w:pPr>
        <w:spacing w:after="0" w:line="240" w:lineRule="auto"/>
        <w:rPr>
          <w:rFonts w:ascii="Times New Roman" w:hAnsi="Times New Roman" w:cs="Times New Roman"/>
          <w:b/>
        </w:rPr>
      </w:pPr>
      <w:r w:rsidRPr="003D337E">
        <w:rPr>
          <w:rFonts w:ascii="Times New Roman" w:hAnsi="Times New Roman" w:cs="Times New Roman"/>
          <w:b/>
        </w:rPr>
        <w:t xml:space="preserve">   </w:t>
      </w:r>
    </w:p>
    <w:p w:rsidR="00B60FD1" w:rsidRPr="003D337E" w:rsidRDefault="00B60FD1" w:rsidP="00B60FD1">
      <w:pPr>
        <w:spacing w:after="0" w:line="240" w:lineRule="auto"/>
        <w:rPr>
          <w:rFonts w:ascii="Times New Roman" w:hAnsi="Times New Roman" w:cs="Times New Roman"/>
          <w:b/>
        </w:rPr>
      </w:pPr>
      <w:r w:rsidRPr="003D337E">
        <w:rPr>
          <w:rFonts w:ascii="Times New Roman" w:hAnsi="Times New Roman" w:cs="Times New Roman"/>
          <w:b/>
        </w:rPr>
        <w:t>Abstract</w:t>
      </w:r>
      <w:bookmarkStart w:id="0" w:name="_GoBack"/>
      <w:bookmarkEnd w:id="0"/>
    </w:p>
    <w:p w:rsidR="00B60FD1" w:rsidRPr="003D337E" w:rsidRDefault="00B60FD1" w:rsidP="00B60FD1">
      <w:pPr>
        <w:spacing w:after="0" w:line="240" w:lineRule="auto"/>
        <w:jc w:val="both"/>
        <w:rPr>
          <w:rFonts w:ascii="Times New Roman" w:hAnsi="Times New Roman" w:cs="Times New Roman"/>
        </w:rPr>
      </w:pPr>
      <w:r w:rsidRPr="003D337E">
        <w:rPr>
          <w:rFonts w:ascii="Times New Roman" w:hAnsi="Times New Roman" w:cs="Times New Roman"/>
        </w:rPr>
        <w:t>This study introduces the sorofraternal complex, a critical model that analyzes sibling relationships as a catalyst for tragic conflict in ancient Greek drama. Through an in-depth examination of Sophocles’ Antigone and Aeschylus’ Oresteia’, the study demonstrates how the sorofraternal complex, a paradigm that explores the intricate web of emotions, loyalties, responsibilities within familial relationship, illuminates the Aristotleian concepts such as hamartia, peripeteia, anagnorisis, and catharsis, ultimately leading to tragic flaws of the major characters. By applying psychoanalytic theory to sororal and fraternal relationships in these plays, the study highlights how the sorofraternal complex offers a nuanced and comprehensive understanding of the devastating consequences of unchecked familial devotion. This research contributes to a deeper understanding of enduring power of sibling relationships in shaping human experience.</w:t>
      </w:r>
    </w:p>
    <w:p w:rsidR="00B60FD1" w:rsidRPr="003D337E" w:rsidRDefault="00B60FD1" w:rsidP="00B60FD1">
      <w:pPr>
        <w:spacing w:after="0" w:line="240" w:lineRule="auto"/>
        <w:jc w:val="both"/>
        <w:rPr>
          <w:rFonts w:ascii="Times New Roman" w:hAnsi="Times New Roman" w:cs="Times New Roman"/>
          <w:b/>
        </w:rPr>
      </w:pPr>
      <w:r w:rsidRPr="003D337E">
        <w:rPr>
          <w:rFonts w:ascii="Times New Roman" w:hAnsi="Times New Roman" w:cs="Times New Roman"/>
          <w:b/>
        </w:rPr>
        <w:t xml:space="preserve">Keywords: </w:t>
      </w:r>
      <w:r w:rsidRPr="003D337E">
        <w:rPr>
          <w:rFonts w:ascii="Times New Roman" w:hAnsi="Times New Roman" w:cs="Times New Roman"/>
        </w:rPr>
        <w:t>Sorofraternal complex, Aristotleian notion of tragedy, Classical theory Psychoanalytic theory</w:t>
      </w:r>
      <w:r w:rsidRPr="003D337E">
        <w:rPr>
          <w:rFonts w:ascii="Times New Roman" w:hAnsi="Times New Roman" w:cs="Times New Roman"/>
          <w:b/>
        </w:rPr>
        <w:t xml:space="preserve"> </w:t>
      </w:r>
    </w:p>
    <w:p w:rsidR="00B60FD1" w:rsidRPr="003D337E" w:rsidRDefault="00B60FD1" w:rsidP="00B60FD1">
      <w:pPr>
        <w:spacing w:after="0" w:line="240" w:lineRule="auto"/>
        <w:jc w:val="both"/>
        <w:rPr>
          <w:rFonts w:ascii="Times New Roman" w:hAnsi="Times New Roman" w:cs="Times New Roman"/>
          <w:b/>
        </w:rPr>
      </w:pPr>
    </w:p>
    <w:p w:rsidR="00B60FD1" w:rsidRPr="003D337E" w:rsidRDefault="00B60FD1" w:rsidP="00B60FD1">
      <w:pPr>
        <w:spacing w:after="0" w:line="240" w:lineRule="auto"/>
        <w:jc w:val="both"/>
        <w:rPr>
          <w:rFonts w:ascii="Times New Roman" w:hAnsi="Times New Roman" w:cs="Times New Roman"/>
          <w:b/>
        </w:rPr>
      </w:pPr>
      <w:r w:rsidRPr="003D337E">
        <w:rPr>
          <w:rFonts w:ascii="Times New Roman" w:hAnsi="Times New Roman" w:cs="Times New Roman"/>
          <w:b/>
        </w:rPr>
        <w:t>Introduction</w:t>
      </w:r>
    </w:p>
    <w:p w:rsidR="00B60FD1" w:rsidRPr="003D337E" w:rsidRDefault="00B60FD1" w:rsidP="00B60FD1">
      <w:pPr>
        <w:spacing w:after="0" w:line="240" w:lineRule="auto"/>
        <w:jc w:val="both"/>
        <w:rPr>
          <w:rFonts w:ascii="Times New Roman" w:hAnsi="Times New Roman" w:cs="Times New Roman"/>
        </w:rPr>
      </w:pPr>
      <w:r w:rsidRPr="003D337E">
        <w:rPr>
          <w:rFonts w:ascii="Times New Roman" w:hAnsi="Times New Roman" w:cs="Times New Roman"/>
        </w:rPr>
        <w:t>Sorofraternal complex is a hypothetical concept related to the Psychological dynamics between siblings. This ideology is extrapolated from the Aristotleian concept of tragedy (tragic flaw) to inform the concept of ‘Sorofraternal Complex’. Complex in psychoanalytic theory is associated to group ideas, feelings or impulses that are organized around a central concept. So, Sorofraternal complex involves the emotion, cognitive and behavioural pattern associated with sibling relationships. It can be viewed as loyalty and responsibility which ultimately leads to tragic consequences. Sophocles and Aeschylus did not explicitly mention this concept, in the literary works but a close study on the main of protagonists of these classical works selected for this study, that is Antigone’s and Orestes’ persistence in ensuring that justice is done is driven by a psychological dynamics related to Sorofraternal responsibility and loyalty. Hence it could be seen as a catalyst that stimulates the down fall of the tragic heroes just like other flaws a hero may possess. Such as; pride, jealousy, wickedness, lies, hatred, etc.</w:t>
      </w:r>
    </w:p>
    <w:p w:rsidR="00B60FD1" w:rsidRDefault="00B60FD1" w:rsidP="00B60FD1">
      <w:pPr>
        <w:spacing w:after="0" w:line="240" w:lineRule="auto"/>
        <w:jc w:val="both"/>
        <w:rPr>
          <w:rFonts w:ascii="Times New Roman" w:hAnsi="Times New Roman" w:cs="Times New Roman"/>
        </w:rPr>
      </w:pPr>
    </w:p>
    <w:p w:rsidR="00B60FD1" w:rsidRPr="003D337E" w:rsidRDefault="00B60FD1" w:rsidP="00B60FD1">
      <w:pPr>
        <w:spacing w:after="0" w:line="240" w:lineRule="auto"/>
        <w:jc w:val="both"/>
        <w:rPr>
          <w:rFonts w:ascii="Times New Roman" w:hAnsi="Times New Roman" w:cs="Times New Roman"/>
        </w:rPr>
      </w:pPr>
      <w:r w:rsidRPr="003D337E">
        <w:rPr>
          <w:rFonts w:ascii="Times New Roman" w:hAnsi="Times New Roman" w:cs="Times New Roman"/>
        </w:rPr>
        <w:t xml:space="preserve">Sorofraternal are two words fused together to create a single concept, Sororal means ‘sisterly’ and fraternal means ‘brotherly’. In this context, this concept refers to a psychological problem or a set of emotions, thoughts and behaviours related to </w:t>
      </w:r>
      <w:proofErr w:type="gramStart"/>
      <w:r w:rsidRPr="003D337E">
        <w:rPr>
          <w:rFonts w:ascii="Times New Roman" w:hAnsi="Times New Roman" w:cs="Times New Roman"/>
        </w:rPr>
        <w:t>siblings</w:t>
      </w:r>
      <w:proofErr w:type="gramEnd"/>
      <w:r w:rsidRPr="003D337E">
        <w:rPr>
          <w:rFonts w:ascii="Times New Roman" w:hAnsi="Times New Roman" w:cs="Times New Roman"/>
        </w:rPr>
        <w:t xml:space="preserve"> relationship particularly between ‘brothers’ and ‘sisters', who are related by blood. It highlights the strong bond between siblings and their deep emotional attachments they share; which encompasses the social, emotional and cultural connections within families and communities, thereby embracing sibling ties/bond which cannot be broken easily. This bond reflects in brotherly and sisterly obligations, expectations and reciprocity within sibling ties. Sometimes, ancestral heritage, history, traditions, and cultural identity even fate influence sibling bond and provides support networks; as in the case of Oresteia, and Antigone’s Aeschylus’.</w:t>
      </w:r>
    </w:p>
    <w:p w:rsidR="00B60FD1" w:rsidRDefault="00B60FD1" w:rsidP="00B60FD1">
      <w:pPr>
        <w:spacing w:after="0" w:line="240" w:lineRule="auto"/>
        <w:jc w:val="both"/>
        <w:rPr>
          <w:rFonts w:ascii="Times New Roman" w:hAnsi="Times New Roman" w:cs="Times New Roman"/>
        </w:rPr>
      </w:pPr>
    </w:p>
    <w:p w:rsidR="00B60FD1" w:rsidRPr="003D337E" w:rsidRDefault="00B60FD1" w:rsidP="00B60FD1">
      <w:pPr>
        <w:spacing w:after="0" w:line="240" w:lineRule="auto"/>
        <w:jc w:val="both"/>
        <w:rPr>
          <w:rFonts w:ascii="Times New Roman" w:hAnsi="Times New Roman" w:cs="Times New Roman"/>
        </w:rPr>
      </w:pPr>
      <w:r w:rsidRPr="003D337E">
        <w:rPr>
          <w:rFonts w:ascii="Times New Roman" w:hAnsi="Times New Roman" w:cs="Times New Roman"/>
        </w:rPr>
        <w:t>Orestes’ and Antigone’s sibling relationships respectively, serve as a paradigm of tragic conflict. Here, Sorofraternal complex plays a pivotal role in shaping their human behaviour and conflicts Sorofraternal complex theory suggests that the complex dynamics of sibling relationships can give rise to intense emotions, rivalries, revenge and power struggles, ultimately contributing to tragic flaw (hamartia).</w:t>
      </w:r>
    </w:p>
    <w:p w:rsidR="00B60FD1" w:rsidRPr="003D337E" w:rsidRDefault="00B60FD1" w:rsidP="00B60FD1">
      <w:pPr>
        <w:spacing w:after="0" w:line="240" w:lineRule="auto"/>
        <w:jc w:val="both"/>
        <w:rPr>
          <w:rFonts w:ascii="Times New Roman" w:hAnsi="Times New Roman" w:cs="Times New Roman"/>
        </w:rPr>
      </w:pPr>
      <w:r w:rsidRPr="003D337E">
        <w:rPr>
          <w:rFonts w:ascii="Times New Roman" w:hAnsi="Times New Roman" w:cs="Times New Roman"/>
        </w:rPr>
        <w:t xml:space="preserve">Scholars could also view Sorofraternal Complex as a stimulator of tragic flaw or hamartia, as a character inherent defect that leads to their downfall. Just as tragedy arises from the complexities of human </w:t>
      </w:r>
      <w:r w:rsidRPr="003D337E">
        <w:rPr>
          <w:rFonts w:ascii="Times New Roman" w:hAnsi="Times New Roman" w:cs="Times New Roman"/>
        </w:rPr>
        <w:lastRenderedPageBreak/>
        <w:t xml:space="preserve">relationships and the flaws of the protagonist, so do Sorofraternal complex offers a shade of knowledge of tragic flaw. It might not be love, anger, wickedness, disobedience, or any shared within the classic tragedies, but responsibility or obligation of protection of a sister to a brother, or from a brother to a sister within an immediate family to uphold family legacy. Deep within the fabric of this tragedy lies a complex web of familial relationship, unwavering complex that ensures its characters in a cycle of loyalty that calls for responsibility, which dares any form of devastating consequences. Such seen in the case of Oresteia and his sister, Electra (Aeschylus’ Orestei: xvii), in conspiring to kill their mother Clytemnestra, for the repose of their father’s soul, Agamemnon. </w:t>
      </w:r>
    </w:p>
    <w:p w:rsidR="00B60FD1" w:rsidRDefault="00B60FD1" w:rsidP="00B60FD1">
      <w:pPr>
        <w:spacing w:after="0" w:line="240" w:lineRule="auto"/>
        <w:jc w:val="both"/>
        <w:rPr>
          <w:rFonts w:ascii="Times New Roman" w:hAnsi="Times New Roman" w:cs="Times New Roman"/>
          <w:b/>
        </w:rPr>
      </w:pPr>
    </w:p>
    <w:p w:rsidR="00B60FD1" w:rsidRPr="003D337E" w:rsidRDefault="00B60FD1" w:rsidP="00B60FD1">
      <w:pPr>
        <w:spacing w:after="0" w:line="240" w:lineRule="auto"/>
        <w:jc w:val="both"/>
        <w:rPr>
          <w:rFonts w:ascii="Times New Roman" w:hAnsi="Times New Roman" w:cs="Times New Roman"/>
          <w:b/>
        </w:rPr>
      </w:pPr>
      <w:r w:rsidRPr="003D337E">
        <w:rPr>
          <w:rFonts w:ascii="Times New Roman" w:hAnsi="Times New Roman" w:cs="Times New Roman"/>
          <w:b/>
        </w:rPr>
        <w:t>Psychoanalytic Theory</w:t>
      </w:r>
    </w:p>
    <w:p w:rsidR="00B60FD1" w:rsidRPr="003D337E" w:rsidRDefault="00B60FD1" w:rsidP="00B60FD1">
      <w:pPr>
        <w:spacing w:after="0" w:line="240" w:lineRule="auto"/>
        <w:jc w:val="both"/>
        <w:rPr>
          <w:rFonts w:ascii="Times New Roman" w:hAnsi="Times New Roman" w:cs="Times New Roman"/>
        </w:rPr>
      </w:pPr>
      <w:r w:rsidRPr="003D337E">
        <w:rPr>
          <w:rFonts w:ascii="Times New Roman" w:hAnsi="Times New Roman" w:cs="Times New Roman"/>
        </w:rPr>
        <w:t xml:space="preserve">Psychoanalytic theory was propounded by Sigmund Freud, a Viennese neurologist born in 1856 in Moravia, Austria. He graduated from University of Vienna in 1881 as a medical student in 1885, he went to Paris to study with the neurologist, Jean-Martin Charcot (Webster’s Encyclopedia;437) which proved to be a turning point in his career. Charcot’s work with the patients classified as hysterics introduced Freud to the possibility that mental disorders might be caused by purely psychological factor rather than organic brain disease. Returning to Vienna he entered partnership with the physician Joseph Breuer. They collaborated on studies in ‘Hysteria’ which contains a presentation of Freud’s pioneering psychoanalytic method of free association. Freud’s basic contention was that humans have desires, largely sexual in nature, that are denied. (Stephen, 2000). </w:t>
      </w:r>
    </w:p>
    <w:p w:rsidR="00B60FD1" w:rsidRDefault="00B60FD1" w:rsidP="00B60FD1">
      <w:pPr>
        <w:spacing w:after="0" w:line="240" w:lineRule="auto"/>
        <w:jc w:val="both"/>
        <w:rPr>
          <w:rFonts w:ascii="Times New Roman" w:hAnsi="Times New Roman" w:cs="Times New Roman"/>
        </w:rPr>
      </w:pPr>
    </w:p>
    <w:p w:rsidR="00B60FD1" w:rsidRPr="003D337E" w:rsidRDefault="00B60FD1" w:rsidP="00B60FD1">
      <w:pPr>
        <w:spacing w:after="0" w:line="240" w:lineRule="auto"/>
        <w:jc w:val="both"/>
        <w:rPr>
          <w:rFonts w:ascii="Times New Roman" w:hAnsi="Times New Roman" w:cs="Times New Roman"/>
        </w:rPr>
      </w:pPr>
      <w:r w:rsidRPr="003D337E">
        <w:rPr>
          <w:rFonts w:ascii="Times New Roman" w:hAnsi="Times New Roman" w:cs="Times New Roman"/>
        </w:rPr>
        <w:t xml:space="preserve">In this recent time, critiques have profitably approached Freud’s theory psychoanalysis using psychoanalytic theory. In view of this Mbanefo (2015) writes; </w:t>
      </w:r>
    </w:p>
    <w:p w:rsidR="00B60FD1" w:rsidRPr="003D337E" w:rsidRDefault="00B60FD1" w:rsidP="00B60FD1">
      <w:pPr>
        <w:spacing w:after="0" w:line="240" w:lineRule="auto"/>
        <w:ind w:left="720"/>
        <w:jc w:val="both"/>
        <w:rPr>
          <w:rFonts w:ascii="Times New Roman" w:hAnsi="Times New Roman" w:cs="Times New Roman"/>
        </w:rPr>
      </w:pPr>
      <w:r w:rsidRPr="003D337E">
        <w:rPr>
          <w:rFonts w:ascii="Times New Roman" w:hAnsi="Times New Roman" w:cs="Times New Roman"/>
        </w:rPr>
        <w:t>Sigmund Freud propounded the theory of psychoanalysis as a means of examining the unconscious mind, scholars have adapted this theory to give different meanings and interpretations to certain behaviours exhibited by characters in their disciplines. In literature, his theory has been applied to discovering the causes of of characters in textbooks, the act of writing and how the writer has achieved successes in written texts. In the etymology of psychoanalysis there is the ‘psyche’ which literally stands for the ‘mind/spirit’ or the part of man which is invincible and its ‘analysis’ which has to do with analysis, judgement and understanding otr value attached to his mind. As complex problems arising from the idea and method of mind analysis than ordinarily imagined” (21).</w:t>
      </w:r>
    </w:p>
    <w:p w:rsidR="00B60FD1" w:rsidRDefault="00B60FD1" w:rsidP="00B60FD1">
      <w:pPr>
        <w:spacing w:after="0" w:line="240" w:lineRule="auto"/>
        <w:jc w:val="both"/>
        <w:rPr>
          <w:rFonts w:ascii="Times New Roman" w:hAnsi="Times New Roman" w:cs="Times New Roman"/>
        </w:rPr>
      </w:pPr>
    </w:p>
    <w:p w:rsidR="00B60FD1" w:rsidRPr="003D337E" w:rsidRDefault="00B60FD1" w:rsidP="00B60FD1">
      <w:pPr>
        <w:spacing w:after="0" w:line="240" w:lineRule="auto"/>
        <w:jc w:val="both"/>
        <w:rPr>
          <w:rFonts w:ascii="Times New Roman" w:hAnsi="Times New Roman" w:cs="Times New Roman"/>
        </w:rPr>
      </w:pPr>
      <w:r w:rsidRPr="003D337E">
        <w:rPr>
          <w:rFonts w:ascii="Times New Roman" w:hAnsi="Times New Roman" w:cs="Times New Roman"/>
        </w:rPr>
        <w:t>Sigmund Freud’s theory of psychoanalysis is a comprehensive framework that explains human behaviour, motivation and psychological development. The component of this theory includes, the structural model of mind; Id: The primitive, instinctual plot of the mind that seeks immediate gratification Ego: The rational, logical part of the mind that mediates between the id and reality and the Superego: The moral component of the mind that incorporates societal norms and values. These components are further developed psychologically in stage, such as psychosexual stage: oral, anal, phallic, latency and Genital stage which describes the development of the libido and the formation of the psyche. This is followed by Oedipus Complex: A critical stage in psychosexual development, where children experience unconscious desires for the opposite-sex parent and feelings of rivalry with the same parent.</w:t>
      </w:r>
    </w:p>
    <w:p w:rsidR="00B60FD1" w:rsidRDefault="00B60FD1" w:rsidP="00B60FD1">
      <w:pPr>
        <w:spacing w:after="0" w:line="240" w:lineRule="auto"/>
        <w:jc w:val="both"/>
        <w:rPr>
          <w:rFonts w:ascii="Times New Roman" w:hAnsi="Times New Roman" w:cs="Times New Roman"/>
        </w:rPr>
      </w:pPr>
    </w:p>
    <w:p w:rsidR="00B60FD1" w:rsidRPr="003D337E" w:rsidRDefault="00B60FD1" w:rsidP="00B60FD1">
      <w:pPr>
        <w:spacing w:after="0" w:line="240" w:lineRule="auto"/>
        <w:jc w:val="both"/>
        <w:rPr>
          <w:rFonts w:ascii="Times New Roman" w:hAnsi="Times New Roman" w:cs="Times New Roman"/>
        </w:rPr>
      </w:pPr>
      <w:r w:rsidRPr="003D337E">
        <w:rPr>
          <w:rFonts w:ascii="Times New Roman" w:hAnsi="Times New Roman" w:cs="Times New Roman"/>
        </w:rPr>
        <w:t>Through the lens of psychoanalysis model, the Sorofraternal complex is seen as a critical component of the unconscious mind, influencing the emotional development of sibling relationship, evoking strong bond, such as excessive devotion between Antigone and Polyneices, which can be interpreted as a manifestation of an unconscious, repressed desire steming from the Oedipus complex. The unwavering loyalty of Antigone to Polyneices is a reflection unconsciously of the Oedipus complex, where a female child unconsciously desires her father and emotional hostility towards her mother, resulting into a firm attachment to a brother figure as a replacement.</w:t>
      </w:r>
    </w:p>
    <w:p w:rsidR="00B60FD1" w:rsidRDefault="00B60FD1" w:rsidP="00B60FD1">
      <w:pPr>
        <w:spacing w:after="0" w:line="240" w:lineRule="auto"/>
        <w:jc w:val="both"/>
        <w:rPr>
          <w:rFonts w:ascii="Times New Roman" w:hAnsi="Times New Roman" w:cs="Times New Roman"/>
          <w:b/>
        </w:rPr>
      </w:pPr>
    </w:p>
    <w:p w:rsidR="00B60FD1" w:rsidRPr="003D337E" w:rsidRDefault="00B60FD1" w:rsidP="00B60FD1">
      <w:pPr>
        <w:spacing w:after="0" w:line="240" w:lineRule="auto"/>
        <w:jc w:val="both"/>
        <w:rPr>
          <w:rFonts w:ascii="Times New Roman" w:hAnsi="Times New Roman" w:cs="Times New Roman"/>
          <w:b/>
        </w:rPr>
      </w:pPr>
      <w:r w:rsidRPr="003D337E">
        <w:rPr>
          <w:rFonts w:ascii="Times New Roman" w:hAnsi="Times New Roman" w:cs="Times New Roman"/>
          <w:b/>
        </w:rPr>
        <w:t>Aristotle Concept of Tragedy and classical drama</w:t>
      </w:r>
    </w:p>
    <w:p w:rsidR="00B60FD1" w:rsidRPr="003D337E" w:rsidRDefault="00B60FD1" w:rsidP="00B60FD1">
      <w:pPr>
        <w:spacing w:after="0" w:line="240" w:lineRule="auto"/>
        <w:jc w:val="both"/>
        <w:rPr>
          <w:rFonts w:ascii="Times New Roman" w:hAnsi="Times New Roman" w:cs="Times New Roman"/>
        </w:rPr>
      </w:pPr>
      <w:r w:rsidRPr="003D337E">
        <w:rPr>
          <w:rFonts w:ascii="Times New Roman" w:hAnsi="Times New Roman" w:cs="Times New Roman"/>
        </w:rPr>
        <w:t xml:space="preserve">Drama is a reflection of life on stage. “It is a form of composition designed for performance in the theatre, in which actors take the role of the characters perform the indicated actions and utter the written </w:t>
      </w:r>
      <w:r w:rsidRPr="003D337E">
        <w:rPr>
          <w:rFonts w:ascii="Times New Roman" w:hAnsi="Times New Roman" w:cs="Times New Roman"/>
        </w:rPr>
        <w:lastRenderedPageBreak/>
        <w:t>dialogue”, (Abrams and Harpham: (2012). But, classical drama is a type of theatrical production or performance based on ancient Greek and Roman culture. This period spanned from 6</w:t>
      </w:r>
      <w:r w:rsidRPr="003D337E">
        <w:rPr>
          <w:rFonts w:ascii="Times New Roman" w:hAnsi="Times New Roman" w:cs="Times New Roman"/>
          <w:vertAlign w:val="superscript"/>
        </w:rPr>
        <w:t>th</w:t>
      </w:r>
      <w:r w:rsidRPr="003D337E">
        <w:rPr>
          <w:rFonts w:ascii="Times New Roman" w:hAnsi="Times New Roman" w:cs="Times New Roman"/>
        </w:rPr>
        <w:t xml:space="preserve"> century BCE to the 4</w:t>
      </w:r>
      <w:r w:rsidRPr="003D337E">
        <w:rPr>
          <w:rFonts w:ascii="Times New Roman" w:hAnsi="Times New Roman" w:cs="Times New Roman"/>
          <w:vertAlign w:val="superscript"/>
        </w:rPr>
        <w:t>th</w:t>
      </w:r>
      <w:r w:rsidRPr="003D337E">
        <w:rPr>
          <w:rFonts w:ascii="Times New Roman" w:hAnsi="Times New Roman" w:cs="Times New Roman"/>
        </w:rPr>
        <w:t xml:space="preserve"> century BCE with its foundation in religious festivals and rituals in honour of gods. According to Chidi-Igbokwe (2022) “Drama in Greece was in part an outgrowth of Greek rituals and religious practice. Tragedy has its origin in ancient Greek theatre and reached its peak in the fifth century B.C. the structure of the plays bears some resemblance to their religious festivals. Famous dramatic works of this period were written by Aeschylus, Sophocles and Euripides. These playwrights devote deliberate attention to Aristotelian concept of tragedy.</w:t>
      </w:r>
    </w:p>
    <w:p w:rsidR="00B60FD1" w:rsidRDefault="00B60FD1" w:rsidP="00B60FD1">
      <w:pPr>
        <w:spacing w:after="0" w:line="240" w:lineRule="auto"/>
        <w:jc w:val="both"/>
        <w:rPr>
          <w:rFonts w:ascii="Times New Roman" w:hAnsi="Times New Roman" w:cs="Times New Roman"/>
        </w:rPr>
      </w:pPr>
    </w:p>
    <w:p w:rsidR="00B60FD1" w:rsidRPr="003D337E" w:rsidRDefault="00B60FD1" w:rsidP="00B60FD1">
      <w:pPr>
        <w:spacing w:after="0" w:line="240" w:lineRule="auto"/>
        <w:jc w:val="both"/>
        <w:rPr>
          <w:rFonts w:ascii="Times New Roman" w:hAnsi="Times New Roman" w:cs="Times New Roman"/>
        </w:rPr>
      </w:pPr>
      <w:r w:rsidRPr="003D337E">
        <w:rPr>
          <w:rFonts w:ascii="Times New Roman" w:hAnsi="Times New Roman" w:cs="Times New Roman"/>
        </w:rPr>
        <w:t>Aristotle proposed to treat poetry, its kinds and their distinct qualities paying particular attention to the structure of plot which according to him is the “requisite to a good poem” (Aristotle 335 BCE:7). He classified epic poetry, tragedy, comedy and all form of music “in their general conception as modes of imitation” (Aristotle 335 BCE: 7), ‘He however made a distinction between them in three respects; the medium, the object and the mode of imitation. Since the objects of imitation are men in action, these men must fall under higher or lower, good or bad as societal and moral basis of classification, Aristotle however insists “that we must represent men either as better than in real life, or as they are” (Aristotle 335 BCE:11).</w:t>
      </w:r>
    </w:p>
    <w:p w:rsidR="00B60FD1" w:rsidRDefault="00B60FD1" w:rsidP="00B60FD1">
      <w:pPr>
        <w:spacing w:after="0" w:line="240" w:lineRule="auto"/>
        <w:jc w:val="both"/>
        <w:rPr>
          <w:rFonts w:ascii="Times New Roman" w:hAnsi="Times New Roman" w:cs="Times New Roman"/>
        </w:rPr>
      </w:pPr>
    </w:p>
    <w:p w:rsidR="00B60FD1" w:rsidRPr="003D337E" w:rsidRDefault="00B60FD1" w:rsidP="00B60FD1">
      <w:pPr>
        <w:spacing w:after="0" w:line="240" w:lineRule="auto"/>
        <w:jc w:val="both"/>
        <w:rPr>
          <w:rFonts w:ascii="Times New Roman" w:hAnsi="Times New Roman" w:cs="Times New Roman"/>
        </w:rPr>
      </w:pPr>
      <w:r w:rsidRPr="003D337E">
        <w:rPr>
          <w:rFonts w:ascii="Times New Roman" w:hAnsi="Times New Roman" w:cs="Times New Roman"/>
        </w:rPr>
        <w:t xml:space="preserve">According Aristotle, the different modes of imitation must imbue men with nobler qualities or less noble than they are. He made some incursion into many writers like Homer who created super humans, Cleophon who created men as they are and some others who created bestial characters. This same distinction in Aristotle’s conception marks off comedy from tragedy. For him. “comedy aims at representing men as worse, tragedy as better than in actual life” (Aristotle 335 BCE:13). “Tragedy then is an imitation of an action that is serious, complete, and of certain magnitude; in language embellished with each kind of artistic ornament, the several kinds being found in separate parts of the play; the form of action, not of narrative; through pity and fear effecting the proper purgation of these emotions”. (Aristotle, 23). By embellished language Aristotle incorporated words that show grandeur, majesty, and tragic elements. These words are mostly spoken by the gods in the form of characters and kings or the truth revealed chorus of songs. As tragedy means an imitation through acting, it implies that every tragedy must have the following six parts which determines its quality; plot, character, diction, thought, spectacle and song. These six play important role according to Aristotle in the production of a good tragedy with special interest in the plot as the chief and most important. The beauty of the work begins with a good arrangement of the plot. There must be a beginning, middle and an end which should be unified such that if any one of them is displaced or removed, the whole will be disjointed and disturbed, a concept Aristotle described as ‘structural union’. A tragic play, </w:t>
      </w:r>
      <w:proofErr w:type="gramStart"/>
      <w:r w:rsidRPr="003D337E">
        <w:rPr>
          <w:rFonts w:ascii="Times New Roman" w:hAnsi="Times New Roman" w:cs="Times New Roman"/>
        </w:rPr>
        <w:t>Aeschylus‘</w:t>
      </w:r>
      <w:proofErr w:type="gramEnd"/>
      <w:r w:rsidRPr="003D337E">
        <w:rPr>
          <w:rFonts w:ascii="Times New Roman" w:hAnsi="Times New Roman" w:cs="Times New Roman"/>
        </w:rPr>
        <w:t xml:space="preserve">s </w:t>
      </w:r>
      <w:r w:rsidRPr="003D337E">
        <w:rPr>
          <w:rFonts w:ascii="Times New Roman" w:hAnsi="Times New Roman" w:cs="Times New Roman"/>
          <w:i/>
        </w:rPr>
        <w:t xml:space="preserve">Agamemnon </w:t>
      </w:r>
      <w:r w:rsidRPr="003D337E">
        <w:rPr>
          <w:rFonts w:ascii="Times New Roman" w:hAnsi="Times New Roman" w:cs="Times New Roman"/>
        </w:rPr>
        <w:t xml:space="preserve">and </w:t>
      </w:r>
      <w:r w:rsidRPr="003D337E">
        <w:rPr>
          <w:rFonts w:ascii="Times New Roman" w:hAnsi="Times New Roman" w:cs="Times New Roman"/>
          <w:i/>
        </w:rPr>
        <w:t xml:space="preserve">The Iliad </w:t>
      </w:r>
      <w:r w:rsidRPr="003D337E">
        <w:rPr>
          <w:rFonts w:ascii="Times New Roman" w:hAnsi="Times New Roman" w:cs="Times New Roman"/>
        </w:rPr>
        <w:t xml:space="preserve">(750 BCE) an epic poem by Homer are handy examples that show this structural union, Agamemnon, the tragic hero and the king from the ancient Greek mythology whose travails in war with Achilles was the preoccupation of Homer in the epic poem, The Iliad. The Iliad begins in the tenth year of the Trojan War, with an invocation and a prayer by an old watchman who wishes that the Greeks conquer the Trojans. Fortunately, the king returns bringing with him, Cassandra, the Trojan princess as his concubine, an act that suggests victory. This did not sit well with Clytemnestra, Agamemnon’s wife and queen of Argon (Greece) who has been plotting to kill her husband for sacrificing their daughter, Iphigenia as an appeasement to the gods for victory. Cassandra who possesses prophetic abilities foresees the looming doom but cannot prevent it. Clytemnestra and her lover, Aegisthus who have been lurking in the palace murder Agamemnon and Cassandra. In The Iliad, Homer explored an entanglement of events in a war between the Trojan city and Greece, a conflict that seemed to have lasted for more than ten years. The plot begins after the tenth year when Achilles, the greatest Greek warrior demands for the spoils of the war from the Greek king, Agamemnon. The king refuses and arrogates Achilles’ prizes to himself, leading to Achilles withdrawal from the war. Achilles’ withdrawal paves way for Hector, the Trojan prince to gain upper hand against the Greece in battle. The Greeks try to rally their troop but is unable to withstand the tide of the Trojans. The Greeks leaders persuade Achilles to returns but he declines still angry with Agamemnon. Patroclus, Achilles’ friend takes charge of the Greek army but Hector kills him. The death of Patroclus, angers Achilles so much that he vows to avenge the death </w:t>
      </w:r>
      <w:r w:rsidRPr="003D337E">
        <w:rPr>
          <w:rFonts w:ascii="Times New Roman" w:hAnsi="Times New Roman" w:cs="Times New Roman"/>
        </w:rPr>
        <w:lastRenderedPageBreak/>
        <w:t>of his friend. Achilles kills many Trojans including Hector and drags his body. Lastly, Achilles returns Hector’s body to his father upon the latter’s kind words.</w:t>
      </w:r>
    </w:p>
    <w:p w:rsidR="00B60FD1" w:rsidRPr="003D337E" w:rsidRDefault="00B60FD1" w:rsidP="00B60FD1">
      <w:pPr>
        <w:spacing w:after="0" w:line="240" w:lineRule="auto"/>
        <w:jc w:val="both"/>
        <w:rPr>
          <w:rFonts w:ascii="Times New Roman" w:hAnsi="Times New Roman" w:cs="Times New Roman"/>
        </w:rPr>
      </w:pPr>
      <w:r w:rsidRPr="003D337E">
        <w:rPr>
          <w:rFonts w:ascii="Times New Roman" w:hAnsi="Times New Roman" w:cs="Times New Roman"/>
        </w:rPr>
        <w:t xml:space="preserve">Tragedy is not only an imitation of a complete action but events inspiring fear and pity whose effect is best produced when it takes us by surprise and the effect is heightened when they follow cause and effect, this being the distinctive mark of tragic imitation. The excitements that greets Agamemnon’s return in the play </w:t>
      </w:r>
      <w:r w:rsidRPr="003D337E">
        <w:rPr>
          <w:rFonts w:ascii="Times New Roman" w:hAnsi="Times New Roman" w:cs="Times New Roman"/>
          <w:i/>
        </w:rPr>
        <w:t xml:space="preserve">Agamemnon </w:t>
      </w:r>
      <w:r w:rsidRPr="003D337E">
        <w:rPr>
          <w:rFonts w:ascii="Times New Roman" w:hAnsi="Times New Roman" w:cs="Times New Roman"/>
        </w:rPr>
        <w:t xml:space="preserve">is explored in the words of the character of watchman thus, “oh blessed dawn that brings the light of </w:t>
      </w:r>
      <w:proofErr w:type="gramStart"/>
      <w:r w:rsidRPr="003D337E">
        <w:rPr>
          <w:rFonts w:ascii="Times New Roman" w:hAnsi="Times New Roman" w:cs="Times New Roman"/>
        </w:rPr>
        <w:t>day!/</w:t>
      </w:r>
      <w:proofErr w:type="gramEnd"/>
      <w:r w:rsidRPr="003D337E">
        <w:rPr>
          <w:rFonts w:ascii="Times New Roman" w:hAnsi="Times New Roman" w:cs="Times New Roman"/>
        </w:rPr>
        <w:t xml:space="preserve">The fire beacons, lit in relay/bring news of Troy’s downfall and  the kings return” (1). Aeschylus goes ahead to show this thrilling moment through the use of chorus in these words’ “Hail, Agamemnon, lord of the land, your victory is won, your glory told, the gods have smiled upon your noble name” (20). The ecstatic moment within a twist of fate ultimately leads to events culminating into fear and pity; these traits are elicited by the prophetic words of Cassandra. She says “Oh, oh the horrors that I see/The blood stained halls, the screams of the </w:t>
      </w:r>
      <w:proofErr w:type="gramStart"/>
      <w:r w:rsidRPr="003D337E">
        <w:rPr>
          <w:rFonts w:ascii="Times New Roman" w:hAnsi="Times New Roman" w:cs="Times New Roman"/>
        </w:rPr>
        <w:t>slain!/</w:t>
      </w:r>
      <w:proofErr w:type="gramEnd"/>
      <w:r w:rsidRPr="003D337E">
        <w:rPr>
          <w:rFonts w:ascii="Times New Roman" w:hAnsi="Times New Roman" w:cs="Times New Roman"/>
        </w:rPr>
        <w:t xml:space="preserve"> The royal house, a den of blood” (25). Even Agamemnon’s last words as he gets struck by his wife also elicit fear. He says, “Ah, woe is me! I am down/betrayed by own wife and my wife’s thread is out” (45) these passages create fear in the audience as they witness the brutal and unjust death of the king. As Clytemnestra did not feel remorse for her action but rather justifies it, the audience feels pity for her and the destruction that befalls the royal family. In The Iliad, Homer creates fear in the audience as they witness Achilles’ rage and fury after Agamemnon refuses to give him the spoils of the war, Briseis. The poet narrates “Achilles’ anger, terrible and fierce, like a lion’s fury or a snake’s deadly squeeze” (Homer, book 1, lines 1-2). Another instance exists between two warriors Paris and Menelaus. Homer reveals that “the two warriors clashed, their armour shining bright, their spears and swords flashing, like lightening in the night” (Homer Book 3, Lines 15-16). Pity is evoked in </w:t>
      </w:r>
      <w:r w:rsidRPr="003D337E">
        <w:rPr>
          <w:rFonts w:ascii="Times New Roman" w:hAnsi="Times New Roman" w:cs="Times New Roman"/>
          <w:i/>
        </w:rPr>
        <w:t>The Iliad</w:t>
      </w:r>
      <w:r w:rsidRPr="003D337E">
        <w:rPr>
          <w:rFonts w:ascii="Times New Roman" w:hAnsi="Times New Roman" w:cs="Times New Roman"/>
        </w:rPr>
        <w:t xml:space="preserve"> when the audience witnesses, the grief of Achilles, upon the news of the untimely death of his friend Patroclus, the sorrow Andromache, Hector’s wife feels and the courage of Priam Hector’s father in the reclaiming of his son’s body shows the height of his courage and this evokes the pity in the audience.</w:t>
      </w:r>
    </w:p>
    <w:p w:rsidR="00B60FD1" w:rsidRDefault="00B60FD1" w:rsidP="00B60FD1">
      <w:pPr>
        <w:spacing w:after="0" w:line="240" w:lineRule="auto"/>
        <w:jc w:val="both"/>
        <w:rPr>
          <w:rFonts w:ascii="Times New Roman" w:hAnsi="Times New Roman" w:cs="Times New Roman"/>
        </w:rPr>
      </w:pPr>
    </w:p>
    <w:p w:rsidR="00B60FD1" w:rsidRPr="003D337E" w:rsidRDefault="00B60FD1" w:rsidP="00B60FD1">
      <w:pPr>
        <w:spacing w:after="0" w:line="240" w:lineRule="auto"/>
        <w:jc w:val="both"/>
        <w:rPr>
          <w:rFonts w:ascii="Times New Roman" w:hAnsi="Times New Roman" w:cs="Times New Roman"/>
        </w:rPr>
      </w:pPr>
      <w:r w:rsidRPr="003D337E">
        <w:rPr>
          <w:rFonts w:ascii="Times New Roman" w:hAnsi="Times New Roman" w:cs="Times New Roman"/>
        </w:rPr>
        <w:t xml:space="preserve">In the forgoing, Aristotle proposes that fear and pity are created when a tragic hero who is not eminently good or just yet whose misfortune is brought about not by vice or depravity but by some error or frailty. A tragic hero, “must be one who is highly renowned and prosperous” (45). By tragic hero’s vice or frailty, Aristotle speculates that there should be some kind of weakness innate in the tragic hero that leads to his tragic end. In addition, he must be renowned, a king, or a prosperous figure. In </w:t>
      </w:r>
      <w:r w:rsidRPr="003D337E">
        <w:rPr>
          <w:rFonts w:ascii="Times New Roman" w:hAnsi="Times New Roman" w:cs="Times New Roman"/>
          <w:i/>
        </w:rPr>
        <w:t xml:space="preserve">Agamemnon </w:t>
      </w:r>
      <w:r w:rsidRPr="003D337E">
        <w:rPr>
          <w:rFonts w:ascii="Times New Roman" w:hAnsi="Times New Roman" w:cs="Times New Roman"/>
        </w:rPr>
        <w:t xml:space="preserve">(445 BCE) Aeschylus projects the character of Agamemnon as the king of the Argos (Greece). He has the nobility required as a tragic hero in the classical tragedy. His downfall is solely and his earlier actions, particularly the sacrifice of Iphigenia and his arrogance. Upon his return, he parades his prowess and might in these words, “I, Agamemnon, king of kings/Lord of the Greeks and conqueror of Troy!” (48). Agamemnon paves way for his downfall through an abuse of power. By his abduction of Cassandra, the Trojan princess Agamemnon shows that he has no regards for other people’s wellbeing. In his words “seize her and bring her before me/I will make her mine and she will learn to obey” (40). Through wrong judgement; the act of sacrificing his daughter to appease the gods, sets him at edge with his wife consequently meets his tragic end in the hands of his wife. In the Greek mythology, Achilles is acclaimed the greatest warrior. In The Iliad, Homer idolizes the character of Achilles, he portrays him as a powerful mortal with divine ancestry (son of Thetis, a sea goddess). He presents him as an invincible warrior with an exceptional strength and bravery, one imbued with unmatched martial skills and complexity, these traits therefore </w:t>
      </w:r>
      <w:proofErr w:type="gramStart"/>
      <w:r w:rsidRPr="003D337E">
        <w:rPr>
          <w:rFonts w:ascii="Times New Roman" w:hAnsi="Times New Roman" w:cs="Times New Roman"/>
        </w:rPr>
        <w:t>positions</w:t>
      </w:r>
      <w:proofErr w:type="gramEnd"/>
      <w:r w:rsidRPr="003D337E">
        <w:rPr>
          <w:rFonts w:ascii="Times New Roman" w:hAnsi="Times New Roman" w:cs="Times New Roman"/>
        </w:rPr>
        <w:t xml:space="preserve"> him as a tragic hero. His tragic flaw comes into guise of the uncontrolled anger and pride. He tells the Greek authorities upon being summoned to return after the Trojans begins to have an upper hand in the war. He says, “I will not obey you Agamemnon/nor will I fight alongside you, for you have dishonoured” (Homer Book 1, Lines 292-293). Tragedy frowns at a pilot that presents a virtuous man who passes from prosperity to adversity or a bad man passing from adversity to prosperity for such does not elicit pity or fear, neither does it justify the moral sense.</w:t>
      </w:r>
    </w:p>
    <w:p w:rsidR="00B60FD1" w:rsidRPr="003D337E" w:rsidRDefault="00B60FD1" w:rsidP="00B60FD1">
      <w:pPr>
        <w:spacing w:after="0" w:line="240" w:lineRule="auto"/>
        <w:jc w:val="both"/>
        <w:rPr>
          <w:rFonts w:ascii="Times New Roman" w:hAnsi="Times New Roman" w:cs="Times New Roman"/>
        </w:rPr>
      </w:pPr>
      <w:r w:rsidRPr="003D337E">
        <w:rPr>
          <w:rFonts w:ascii="Times New Roman" w:hAnsi="Times New Roman" w:cs="Times New Roman"/>
        </w:rPr>
        <w:t xml:space="preserve">Fate is another attribute of the classical tragedy, an idea that events and experiences in a person’s life are being determined by forces greater than the individual. In the ancient Greece, fate is said to be controlled by the gods who had the power to shape and design the destinies of man, but also by the Moirai who determines destiny. Fate also contributes to Achilles’ downfall. Thetis, Achilles’ mother emphasizes the inevitability of fate in his life. She reveals that “For I know that my son is destined to </w:t>
      </w:r>
      <w:r w:rsidRPr="003D337E">
        <w:rPr>
          <w:rFonts w:ascii="Times New Roman" w:hAnsi="Times New Roman" w:cs="Times New Roman"/>
        </w:rPr>
        <w:lastRenderedPageBreak/>
        <w:t xml:space="preserve">die young/And that his fate is sealed” (Homer Book 9, Lines 414-415). In </w:t>
      </w:r>
      <w:r w:rsidRPr="003D337E">
        <w:rPr>
          <w:rFonts w:ascii="Times New Roman" w:hAnsi="Times New Roman" w:cs="Times New Roman"/>
          <w:i/>
        </w:rPr>
        <w:t xml:space="preserve">Agamemnon, </w:t>
      </w:r>
      <w:r w:rsidRPr="003D337E">
        <w:rPr>
          <w:rFonts w:ascii="Times New Roman" w:hAnsi="Times New Roman" w:cs="Times New Roman"/>
        </w:rPr>
        <w:t xml:space="preserve">the protagonist pays no heed to the warnings of the gods not to sacrifice his daughter; in </w:t>
      </w:r>
      <w:proofErr w:type="gramStart"/>
      <w:r w:rsidRPr="003D337E">
        <w:rPr>
          <w:rFonts w:ascii="Times New Roman" w:hAnsi="Times New Roman" w:cs="Times New Roman"/>
        </w:rPr>
        <w:t>fact</w:t>
      </w:r>
      <w:proofErr w:type="gramEnd"/>
      <w:r w:rsidRPr="003D337E">
        <w:rPr>
          <w:rFonts w:ascii="Times New Roman" w:hAnsi="Times New Roman" w:cs="Times New Roman"/>
        </w:rPr>
        <w:t xml:space="preserve"> one can be see fate as a major force that controls the life and actions of almost all the characters. The playwright says, “beware Agamemnon of the curse that haunts your house and claims its own. For bloodshed breeds bloodshed and the past will not be silenced, nor its debt repaid” (70). As evident in the play, the element of fate opens the door or the tragic consequences while the hubris in the hero seals his destiny.</w:t>
      </w:r>
    </w:p>
    <w:p w:rsidR="00B60FD1" w:rsidRDefault="00B60FD1" w:rsidP="00B60FD1">
      <w:pPr>
        <w:spacing w:after="0" w:line="240" w:lineRule="auto"/>
        <w:jc w:val="both"/>
        <w:rPr>
          <w:rFonts w:ascii="Times New Roman" w:hAnsi="Times New Roman" w:cs="Times New Roman"/>
          <w:b/>
        </w:rPr>
      </w:pPr>
    </w:p>
    <w:p w:rsidR="00B60FD1" w:rsidRPr="003D337E" w:rsidRDefault="00B60FD1" w:rsidP="00B60FD1">
      <w:pPr>
        <w:spacing w:after="0" w:line="240" w:lineRule="auto"/>
        <w:jc w:val="both"/>
        <w:rPr>
          <w:rFonts w:ascii="Times New Roman" w:hAnsi="Times New Roman" w:cs="Times New Roman"/>
          <w:b/>
        </w:rPr>
      </w:pPr>
      <w:r w:rsidRPr="003D337E">
        <w:rPr>
          <w:rFonts w:ascii="Times New Roman" w:hAnsi="Times New Roman" w:cs="Times New Roman"/>
          <w:b/>
        </w:rPr>
        <w:t xml:space="preserve">Synthesizing Sorofraternal Complex with Aristotelian Classical dramas (Sophocles, Antigone and Aeschylus’ Oresteia) </w:t>
      </w:r>
    </w:p>
    <w:p w:rsidR="00B60FD1" w:rsidRPr="003D337E" w:rsidRDefault="00B60FD1" w:rsidP="00B60FD1">
      <w:pPr>
        <w:spacing w:after="0" w:line="240" w:lineRule="auto"/>
        <w:jc w:val="both"/>
        <w:rPr>
          <w:rFonts w:ascii="Times New Roman" w:hAnsi="Times New Roman" w:cs="Times New Roman"/>
        </w:rPr>
      </w:pPr>
      <w:r w:rsidRPr="003D337E">
        <w:rPr>
          <w:rFonts w:ascii="Times New Roman" w:hAnsi="Times New Roman" w:cs="Times New Roman"/>
          <w:i/>
        </w:rPr>
        <w:t>Antigone</w:t>
      </w:r>
      <w:r w:rsidRPr="003D337E">
        <w:rPr>
          <w:rFonts w:ascii="Times New Roman" w:hAnsi="Times New Roman" w:cs="Times New Roman"/>
        </w:rPr>
        <w:t xml:space="preserve"> and</w:t>
      </w:r>
      <w:r w:rsidRPr="003D337E">
        <w:rPr>
          <w:rFonts w:ascii="Times New Roman" w:hAnsi="Times New Roman" w:cs="Times New Roman"/>
          <w:i/>
        </w:rPr>
        <w:t xml:space="preserve"> Oresteia</w:t>
      </w:r>
      <w:r w:rsidRPr="003D337E">
        <w:rPr>
          <w:rFonts w:ascii="Times New Roman" w:hAnsi="Times New Roman" w:cs="Times New Roman"/>
        </w:rPr>
        <w:t xml:space="preserve"> are two dramatic texts written by major classical dramatists, Sophocles and Aeschylus respectively. These plays conform to the principles outlined in Aristotle’s </w:t>
      </w:r>
      <w:r w:rsidRPr="003D337E">
        <w:rPr>
          <w:rFonts w:ascii="Times New Roman" w:hAnsi="Times New Roman" w:cs="Times New Roman"/>
          <w:i/>
        </w:rPr>
        <w:t>Poetics</w:t>
      </w:r>
      <w:r w:rsidRPr="003D337E">
        <w:rPr>
          <w:rFonts w:ascii="Times New Roman" w:hAnsi="Times New Roman" w:cs="Times New Roman"/>
        </w:rPr>
        <w:t>, particularly in their use of hamartia (tragic flaw), peripeteia (reversal of fortune) and catharsis (emotional purging). The tragic flaw of Antigone and Orestes are driven by their sorofraternal attachments, which ultimately lead to their downfall. Their unwavering devotion to their siblings fuels their actions, resulting in tragic consequences. The plays use of peripeteia and catharsis further underscores the devastating effects of unconscious motivations and unresolved psychological conflicts. Through the lens of psychoanalytic theory one can gain a deeper understanding of the Sorofraternal complex and its role in shaping human behaviour. Additionally, Freudian concepts can n concepts such as the Oedipus complex, Electra complex and repetition compulsion can be applied to Antigone and Orestes to illuminate the unconscious motivations driving their actions.</w:t>
      </w:r>
    </w:p>
    <w:p w:rsidR="00B60FD1" w:rsidRDefault="00B60FD1" w:rsidP="00B60FD1">
      <w:pPr>
        <w:spacing w:after="0" w:line="240" w:lineRule="auto"/>
        <w:jc w:val="both"/>
        <w:rPr>
          <w:rFonts w:ascii="Times New Roman" w:hAnsi="Times New Roman" w:cs="Times New Roman"/>
          <w:b/>
        </w:rPr>
      </w:pPr>
    </w:p>
    <w:p w:rsidR="00B60FD1" w:rsidRPr="003D337E" w:rsidRDefault="00B60FD1" w:rsidP="00B60FD1">
      <w:pPr>
        <w:spacing w:after="0" w:line="240" w:lineRule="auto"/>
        <w:jc w:val="both"/>
        <w:rPr>
          <w:rFonts w:ascii="Times New Roman" w:hAnsi="Times New Roman" w:cs="Times New Roman"/>
          <w:b/>
        </w:rPr>
      </w:pPr>
      <w:r w:rsidRPr="003D337E">
        <w:rPr>
          <w:rFonts w:ascii="Times New Roman" w:hAnsi="Times New Roman" w:cs="Times New Roman"/>
          <w:b/>
        </w:rPr>
        <w:t xml:space="preserve">A psychoanalytic study of Sorofraternal Complex in Sophocles’ </w:t>
      </w:r>
      <w:r w:rsidRPr="003D337E">
        <w:rPr>
          <w:rFonts w:ascii="Times New Roman" w:hAnsi="Times New Roman" w:cs="Times New Roman"/>
          <w:b/>
          <w:i/>
        </w:rPr>
        <w:t>Antigone</w:t>
      </w:r>
    </w:p>
    <w:p w:rsidR="00B60FD1" w:rsidRPr="003D337E" w:rsidRDefault="00B60FD1" w:rsidP="00B60FD1">
      <w:pPr>
        <w:spacing w:after="0" w:line="240" w:lineRule="auto"/>
        <w:jc w:val="both"/>
        <w:rPr>
          <w:rFonts w:ascii="Times New Roman" w:hAnsi="Times New Roman" w:cs="Times New Roman"/>
        </w:rPr>
      </w:pPr>
      <w:r w:rsidRPr="003D337E">
        <w:rPr>
          <w:rFonts w:ascii="Times New Roman" w:hAnsi="Times New Roman" w:cs="Times New Roman"/>
        </w:rPr>
        <w:t>The sibling relationship between a sister (Sororal) and a brother (fraternal) who are related by blood can result into Sorofraternal Complex, a tragic flaw that ensnare the main protagonist (Antigone) in a cycle of loyalty and responsibility, leading to devastating consequences. This psychological dynamic requires a clinical attention through psychoanalytic model to address, and that is what this study sets to achieve. However, Antigone is a person of noble character, the main protagonist of this classical drama,</w:t>
      </w:r>
      <w:r w:rsidRPr="003D337E">
        <w:rPr>
          <w:rFonts w:ascii="Times New Roman" w:hAnsi="Times New Roman" w:cs="Times New Roman"/>
          <w:i/>
        </w:rPr>
        <w:t xml:space="preserve"> Antigone</w:t>
      </w:r>
      <w:r w:rsidRPr="003D337E">
        <w:rPr>
          <w:rFonts w:ascii="Times New Roman" w:hAnsi="Times New Roman" w:cs="Times New Roman"/>
        </w:rPr>
        <w:t>, wri</w:t>
      </w:r>
      <w:r>
        <w:rPr>
          <w:rFonts w:ascii="Times New Roman" w:hAnsi="Times New Roman" w:cs="Times New Roman"/>
        </w:rPr>
        <w:t>tten in the year 442BC, it is</w:t>
      </w:r>
      <w:r w:rsidRPr="003D337E">
        <w:rPr>
          <w:rFonts w:ascii="Times New Roman" w:hAnsi="Times New Roman" w:cs="Times New Roman"/>
        </w:rPr>
        <w:t xml:space="preserve"> the first of three plays of the Oedipus trilogy. In the light of this, Almansi (1991)</w:t>
      </w:r>
      <w:r w:rsidRPr="003D337E">
        <w:rPr>
          <w:rFonts w:ascii="Times New Roman" w:hAnsi="Times New Roman" w:cs="Times New Roman"/>
          <w:i/>
        </w:rPr>
        <w:t xml:space="preserve"> </w:t>
      </w:r>
      <w:r w:rsidRPr="003D337E">
        <w:rPr>
          <w:rFonts w:ascii="Times New Roman" w:hAnsi="Times New Roman" w:cs="Times New Roman"/>
        </w:rPr>
        <w:t>quotes Winington Ingram by stating:</w:t>
      </w:r>
    </w:p>
    <w:p w:rsidR="00B60FD1" w:rsidRPr="003D337E" w:rsidRDefault="00B60FD1" w:rsidP="00B60FD1">
      <w:pPr>
        <w:spacing w:after="0" w:line="240" w:lineRule="auto"/>
        <w:ind w:left="720"/>
        <w:jc w:val="both"/>
        <w:rPr>
          <w:rFonts w:ascii="Times New Roman" w:hAnsi="Times New Roman" w:cs="Times New Roman"/>
        </w:rPr>
      </w:pPr>
      <w:r w:rsidRPr="003D337E">
        <w:rPr>
          <w:rFonts w:ascii="Times New Roman" w:hAnsi="Times New Roman" w:cs="Times New Roman"/>
        </w:rPr>
        <w:t>Antigone is a singular difficult play to understand. Its socio-political aspect in which in all, the commentators have invariably focused their attention the degree of respect should be given law, the relationship between the sexes, the duties towards the family versus the duty to society and others) represent on one side “defensive screens which tend to conceal the unconscious content of this tragedy, on another level, as we will see later, they reflect the contribution of the ego and the superego to the intrapsychic conflicts of its main characters.</w:t>
      </w:r>
    </w:p>
    <w:p w:rsidR="00B60FD1" w:rsidRDefault="00B60FD1" w:rsidP="00B60FD1">
      <w:pPr>
        <w:spacing w:after="0" w:line="240" w:lineRule="auto"/>
        <w:jc w:val="both"/>
        <w:rPr>
          <w:rFonts w:ascii="Times New Roman" w:hAnsi="Times New Roman" w:cs="Times New Roman"/>
        </w:rPr>
      </w:pPr>
    </w:p>
    <w:p w:rsidR="00B60FD1" w:rsidRPr="003D337E" w:rsidRDefault="00B60FD1" w:rsidP="00B60FD1">
      <w:pPr>
        <w:spacing w:after="0" w:line="240" w:lineRule="auto"/>
        <w:jc w:val="both"/>
        <w:rPr>
          <w:rFonts w:ascii="Times New Roman" w:hAnsi="Times New Roman" w:cs="Times New Roman"/>
        </w:rPr>
      </w:pPr>
      <w:r w:rsidRPr="003D337E">
        <w:rPr>
          <w:rFonts w:ascii="Times New Roman" w:hAnsi="Times New Roman" w:cs="Times New Roman"/>
        </w:rPr>
        <w:t>According to the framework of the plot, it presents briefly in the royal palace of Thebes, Antigone, the devoted daughter of Oedipus, who resides with her younger sister Ismene. Antigone is betrothed to Haemon, the son of Creon who has become the regent of Thebes after Oedipus’ exile. Following Oedipus’ departure, Creon had agreed to let Oedipus’ sons, Eteocles and Polynices, alternate rules. However, when Polyneices’ turn arrives, Eteocles refused to relinquish power; leading to a fatal conflict between the two brothers. Creon subsequently decreed that Eteocles would receive a proper burial, while Polynices body would be left to scavengers, labelling him a traitor. Anyone attempting to bury Polyneices would be facing execution by stoning. But Antigone did not obey this order, and was caught by King Creon’s guards.</w:t>
      </w:r>
    </w:p>
    <w:p w:rsidR="00B60FD1" w:rsidRDefault="00B60FD1" w:rsidP="00B60FD1">
      <w:pPr>
        <w:spacing w:after="0" w:line="240" w:lineRule="auto"/>
        <w:jc w:val="both"/>
        <w:rPr>
          <w:rFonts w:ascii="Times New Roman" w:hAnsi="Times New Roman" w:cs="Times New Roman"/>
        </w:rPr>
      </w:pPr>
    </w:p>
    <w:p w:rsidR="00B60FD1" w:rsidRPr="003D337E" w:rsidRDefault="00B60FD1" w:rsidP="00B60FD1">
      <w:pPr>
        <w:spacing w:after="0" w:line="240" w:lineRule="auto"/>
        <w:jc w:val="both"/>
        <w:rPr>
          <w:rFonts w:ascii="Times New Roman" w:hAnsi="Times New Roman" w:cs="Times New Roman"/>
        </w:rPr>
      </w:pPr>
      <w:r w:rsidRPr="003D337E">
        <w:rPr>
          <w:rFonts w:ascii="Times New Roman" w:hAnsi="Times New Roman" w:cs="Times New Roman"/>
        </w:rPr>
        <w:t xml:space="preserve">The play’s climax features a dramatic showdown between Antigone and Creon, where Antigone challenge Creon’s decree, arguing that it defies the “Unwritten and Unfailing Laws” of the gods. Creon however insists that all decrees must be obeyed without question. The stance can be seen as rationalization, given that Creon had arbitrarily labelled Polynices a traitor, despite being the wrong party. Meanwhile, Antigone’s own motivations are also driven by rationalization, revealing her unconscious desires. Upon learning of Creon’s edict, Antigone immediately decides to bury her brother Polyneices, disregarding the consequences. Her primary concern is the gruesome fate of Polynices’ body, which would be left to scavenging animals. When Antigone attempts to enlist Ismene’s help, </w:t>
      </w:r>
      <w:r w:rsidRPr="003D337E">
        <w:rPr>
          <w:rFonts w:ascii="Times New Roman" w:hAnsi="Times New Roman" w:cs="Times New Roman"/>
        </w:rPr>
        <w:lastRenderedPageBreak/>
        <w:t>Ismene refuses, recalling the ultimate consequence and the wasted effort if they venture burying him, their brother Polynices. Without relenting, Antigone resorts to proceed alone driven by her unwavering commitment to her brother and her own unconscious motivations: She says to Ismene:</w:t>
      </w:r>
    </w:p>
    <w:p w:rsidR="00B60FD1" w:rsidRPr="003D337E" w:rsidRDefault="00B60FD1" w:rsidP="00B60FD1">
      <w:pPr>
        <w:spacing w:after="0" w:line="240" w:lineRule="auto"/>
        <w:jc w:val="both"/>
        <w:rPr>
          <w:rFonts w:ascii="Times New Roman" w:hAnsi="Times New Roman" w:cs="Times New Roman"/>
        </w:rPr>
      </w:pPr>
      <w:r w:rsidRPr="003D337E">
        <w:rPr>
          <w:rFonts w:ascii="Times New Roman" w:hAnsi="Times New Roman" w:cs="Times New Roman"/>
        </w:rPr>
        <w:tab/>
        <w:t xml:space="preserve">Such orders they say the worthy Creon gives to you and me-yes, yes, I say to me. </w:t>
      </w:r>
    </w:p>
    <w:p w:rsidR="00B60FD1" w:rsidRPr="003D337E" w:rsidRDefault="00B60FD1" w:rsidP="00B60FD1">
      <w:pPr>
        <w:spacing w:after="0" w:line="240" w:lineRule="auto"/>
        <w:jc w:val="both"/>
        <w:rPr>
          <w:rFonts w:ascii="Times New Roman" w:hAnsi="Times New Roman" w:cs="Times New Roman"/>
        </w:rPr>
      </w:pPr>
      <w:r w:rsidRPr="003D337E">
        <w:rPr>
          <w:rFonts w:ascii="Times New Roman" w:hAnsi="Times New Roman" w:cs="Times New Roman"/>
        </w:rPr>
        <w:t>Later, she commented:</w:t>
      </w:r>
    </w:p>
    <w:p w:rsidR="00B60FD1" w:rsidRPr="003D337E" w:rsidRDefault="00B60FD1" w:rsidP="00B60FD1">
      <w:pPr>
        <w:spacing w:after="0" w:line="240" w:lineRule="auto"/>
        <w:ind w:left="720" w:hanging="720"/>
        <w:jc w:val="both"/>
        <w:rPr>
          <w:rFonts w:ascii="Times New Roman" w:hAnsi="Times New Roman" w:cs="Times New Roman"/>
        </w:rPr>
      </w:pPr>
      <w:r w:rsidRPr="003D337E">
        <w:rPr>
          <w:rFonts w:ascii="Times New Roman" w:hAnsi="Times New Roman" w:cs="Times New Roman"/>
        </w:rPr>
        <w:t>`</w:t>
      </w:r>
      <w:r w:rsidRPr="003D337E">
        <w:rPr>
          <w:rFonts w:ascii="Times New Roman" w:hAnsi="Times New Roman" w:cs="Times New Roman"/>
        </w:rPr>
        <w:tab/>
        <w:t xml:space="preserve">it’s not for him to keep me from my own. </w:t>
      </w:r>
    </w:p>
    <w:p w:rsidR="00B60FD1" w:rsidRPr="003D337E" w:rsidRDefault="00B60FD1" w:rsidP="00B60FD1">
      <w:pPr>
        <w:spacing w:after="0" w:line="240" w:lineRule="auto"/>
        <w:ind w:left="720"/>
        <w:jc w:val="both"/>
        <w:rPr>
          <w:rFonts w:ascii="Times New Roman" w:hAnsi="Times New Roman" w:cs="Times New Roman"/>
        </w:rPr>
      </w:pPr>
      <w:r w:rsidRPr="003D337E">
        <w:rPr>
          <w:rFonts w:ascii="Times New Roman" w:hAnsi="Times New Roman" w:cs="Times New Roman"/>
        </w:rPr>
        <w:t xml:space="preserve">Friend shall I lie with him, yes friend with </w:t>
      </w:r>
    </w:p>
    <w:p w:rsidR="00B60FD1" w:rsidRPr="003D337E" w:rsidRDefault="00B60FD1" w:rsidP="00B60FD1">
      <w:pPr>
        <w:spacing w:after="0" w:line="240" w:lineRule="auto"/>
        <w:ind w:left="720"/>
        <w:jc w:val="both"/>
        <w:rPr>
          <w:rFonts w:ascii="Times New Roman" w:hAnsi="Times New Roman" w:cs="Times New Roman"/>
        </w:rPr>
      </w:pPr>
      <w:r w:rsidRPr="003D337E">
        <w:rPr>
          <w:rFonts w:ascii="Times New Roman" w:hAnsi="Times New Roman" w:cs="Times New Roman"/>
        </w:rPr>
        <w:t>friend when I have dared the crime of piety and then:</w:t>
      </w:r>
    </w:p>
    <w:p w:rsidR="00B60FD1" w:rsidRPr="003D337E" w:rsidRDefault="00B60FD1" w:rsidP="00B60FD1">
      <w:pPr>
        <w:spacing w:after="0" w:line="240" w:lineRule="auto"/>
        <w:ind w:left="720" w:hanging="720"/>
        <w:jc w:val="both"/>
        <w:rPr>
          <w:rFonts w:ascii="Times New Roman" w:hAnsi="Times New Roman" w:cs="Times New Roman"/>
        </w:rPr>
      </w:pPr>
      <w:r w:rsidRPr="003D337E">
        <w:rPr>
          <w:rFonts w:ascii="Times New Roman" w:hAnsi="Times New Roman" w:cs="Times New Roman"/>
        </w:rPr>
        <w:tab/>
        <w:t xml:space="preserve">Now I go, to pile </w:t>
      </w:r>
    </w:p>
    <w:p w:rsidR="00B60FD1" w:rsidRPr="003D337E" w:rsidRDefault="00B60FD1" w:rsidP="00B60FD1">
      <w:pPr>
        <w:spacing w:after="0" w:line="240" w:lineRule="auto"/>
        <w:ind w:left="720" w:hanging="720"/>
        <w:jc w:val="both"/>
        <w:rPr>
          <w:rFonts w:ascii="Times New Roman" w:hAnsi="Times New Roman" w:cs="Times New Roman"/>
        </w:rPr>
      </w:pPr>
      <w:r w:rsidRPr="003D337E">
        <w:rPr>
          <w:rFonts w:ascii="Times New Roman" w:hAnsi="Times New Roman" w:cs="Times New Roman"/>
        </w:rPr>
        <w:tab/>
        <w:t>The burial-mound for him, my dearest brother.</w:t>
      </w:r>
    </w:p>
    <w:p w:rsidR="00B60FD1" w:rsidRPr="003D337E" w:rsidRDefault="00B60FD1" w:rsidP="00B60FD1">
      <w:pPr>
        <w:spacing w:after="0" w:line="240" w:lineRule="auto"/>
        <w:ind w:left="720" w:hanging="720"/>
        <w:jc w:val="both"/>
        <w:rPr>
          <w:rFonts w:ascii="Times New Roman" w:hAnsi="Times New Roman" w:cs="Times New Roman"/>
        </w:rPr>
      </w:pPr>
    </w:p>
    <w:p w:rsidR="00B60FD1" w:rsidRPr="003D337E" w:rsidRDefault="00B60FD1" w:rsidP="00B60FD1">
      <w:pPr>
        <w:spacing w:after="0" w:line="240" w:lineRule="auto"/>
        <w:jc w:val="both"/>
        <w:rPr>
          <w:rFonts w:ascii="Times New Roman" w:hAnsi="Times New Roman" w:cs="Times New Roman"/>
        </w:rPr>
      </w:pPr>
      <w:r w:rsidRPr="003D337E">
        <w:rPr>
          <w:rFonts w:ascii="Times New Roman" w:hAnsi="Times New Roman" w:cs="Times New Roman"/>
        </w:rPr>
        <w:t>In a sentimental, expression of sibling devotion/loyalty, Antigone refers to as a “Brother of my   heart”. This romanticized vision of reunite death is later actualized when Antigone takes her own life, and ultimately become a tragic reality when Haemon joins her in death, having fatally stabbed himself. While, alive Antigone’s expression of devotion to her brother Polynices reveals a profound and intimate aspect of her character, shedding light on her unrelented motivations and emotions.</w:t>
      </w:r>
    </w:p>
    <w:p w:rsidR="00B60FD1" w:rsidRDefault="00B60FD1" w:rsidP="00B60FD1">
      <w:pPr>
        <w:spacing w:after="0" w:line="240" w:lineRule="auto"/>
        <w:jc w:val="both"/>
        <w:rPr>
          <w:rFonts w:ascii="Times New Roman" w:hAnsi="Times New Roman" w:cs="Times New Roman"/>
        </w:rPr>
      </w:pPr>
    </w:p>
    <w:p w:rsidR="00B60FD1" w:rsidRPr="003D337E" w:rsidRDefault="00B60FD1" w:rsidP="00B60FD1">
      <w:pPr>
        <w:spacing w:after="0" w:line="240" w:lineRule="auto"/>
        <w:jc w:val="both"/>
        <w:rPr>
          <w:rFonts w:ascii="Times New Roman" w:hAnsi="Times New Roman" w:cs="Times New Roman"/>
        </w:rPr>
      </w:pPr>
      <w:r w:rsidRPr="003D337E">
        <w:rPr>
          <w:rFonts w:ascii="Times New Roman" w:hAnsi="Times New Roman" w:cs="Times New Roman"/>
        </w:rPr>
        <w:t>Taking into account the Sorofraternal complex, Antigone’s decision to bury Polynices’ body (her brother’s body) is driven by a complex mix of motivation, deeply rooted in Sorofraternal complex actions represent a sublimated expression of her deep-seated feelings, manifesting as an act of piety with profound religious significance. This act ultimately leads to her punishment, which serves as a means of atoning for her perceived guilt. This complex illuminates Aristotle’s tragic flaw (driven by Sorofraternal (a deep sense of sibling responsibility) which lead to her downfall. There is equally, reversal of fortune and catharsis; emotional purging, which further underscores the devastating consequences of unconscious motivations and unresolved conflicts. Antigone’s desires to reunite with her brother in death can be seen as a manifestation of the Sorofraternal complex where her familial bonds and sense of loyalty override her own self-Preservation.</w:t>
      </w:r>
    </w:p>
    <w:p w:rsidR="00B60FD1" w:rsidRDefault="00B60FD1" w:rsidP="00B60FD1">
      <w:pPr>
        <w:spacing w:after="0" w:line="240" w:lineRule="auto"/>
        <w:jc w:val="both"/>
        <w:rPr>
          <w:rFonts w:ascii="Times New Roman" w:hAnsi="Times New Roman" w:cs="Times New Roman"/>
        </w:rPr>
      </w:pPr>
    </w:p>
    <w:p w:rsidR="00B60FD1" w:rsidRPr="003D337E" w:rsidRDefault="00B60FD1" w:rsidP="00B60FD1">
      <w:pPr>
        <w:spacing w:after="0" w:line="240" w:lineRule="auto"/>
        <w:jc w:val="both"/>
        <w:rPr>
          <w:rFonts w:ascii="Times New Roman" w:hAnsi="Times New Roman" w:cs="Times New Roman"/>
        </w:rPr>
      </w:pPr>
      <w:r w:rsidRPr="003D337E">
        <w:rPr>
          <w:rFonts w:ascii="Times New Roman" w:hAnsi="Times New Roman" w:cs="Times New Roman"/>
        </w:rPr>
        <w:t>On the other hand, Creon’s inflexible adherence to the law can be seen as a defense mechanism against his own unconscious desires and aggressive impulses, which are exacerbated by the Sorofraternal complex. His rigid stance is a manifestation of his own disapproval of these urges this ultimately funds expression in his tragic downfall. Both Antigone and Creon are driven by powerful ego and superego forces, leading them to seek resolution to their inner conflicts through extreme measures for Antigone, this means a heroic of self-sacrifice, while for Creon, it enacts a desperate affirmation of the law.</w:t>
      </w:r>
    </w:p>
    <w:p w:rsidR="00B60FD1" w:rsidRPr="003D337E" w:rsidRDefault="00B60FD1" w:rsidP="00B60FD1">
      <w:pPr>
        <w:spacing w:after="0" w:line="240" w:lineRule="auto"/>
        <w:jc w:val="both"/>
        <w:rPr>
          <w:rFonts w:ascii="Times New Roman" w:hAnsi="Times New Roman" w:cs="Times New Roman"/>
        </w:rPr>
      </w:pPr>
      <w:r w:rsidRPr="003D337E">
        <w:rPr>
          <w:rFonts w:ascii="Times New Roman" w:hAnsi="Times New Roman" w:cs="Times New Roman"/>
        </w:rPr>
        <w:t>In this play Sophocles intuitively explores the connection between the origins of religion, law, and the need to ‘repress transitional (libidinal) and unconscious drive (aggressive urge), a concept developed by Freud in Totem and Taboo; (web). The Sorofraternal complex adds another layer of depth to this exploration, highlighting the complex and often conflicting nature of familial (classical familial) bonds and loyalty. Psychoanalytic theory provides powerful tools for analyzing the Sorofraternal complex and its role in shaping human behaviour offering a shade understanding of the complexities of human nature.</w:t>
      </w:r>
    </w:p>
    <w:p w:rsidR="00B60FD1" w:rsidRDefault="00B60FD1" w:rsidP="00B60FD1">
      <w:pPr>
        <w:spacing w:after="0" w:line="240" w:lineRule="auto"/>
        <w:jc w:val="both"/>
        <w:rPr>
          <w:rFonts w:ascii="Times New Roman" w:hAnsi="Times New Roman" w:cs="Times New Roman"/>
          <w:b/>
        </w:rPr>
      </w:pPr>
    </w:p>
    <w:p w:rsidR="00B60FD1" w:rsidRPr="003D337E" w:rsidRDefault="00B60FD1" w:rsidP="00B60FD1">
      <w:pPr>
        <w:spacing w:after="0" w:line="240" w:lineRule="auto"/>
        <w:jc w:val="both"/>
        <w:rPr>
          <w:rFonts w:ascii="Times New Roman" w:hAnsi="Times New Roman" w:cs="Times New Roman"/>
        </w:rPr>
      </w:pPr>
      <w:r w:rsidRPr="003D337E">
        <w:rPr>
          <w:rFonts w:ascii="Times New Roman" w:hAnsi="Times New Roman" w:cs="Times New Roman"/>
          <w:b/>
        </w:rPr>
        <w:t xml:space="preserve">Sorofraternal Complex and Applied psychoanalytic theory in Aeschylus’ </w:t>
      </w:r>
      <w:r w:rsidRPr="003D337E">
        <w:rPr>
          <w:rFonts w:ascii="Times New Roman" w:hAnsi="Times New Roman" w:cs="Times New Roman"/>
          <w:b/>
          <w:i/>
        </w:rPr>
        <w:t>Oresteia</w:t>
      </w:r>
      <w:r w:rsidRPr="003D337E">
        <w:rPr>
          <w:rFonts w:ascii="Times New Roman" w:hAnsi="Times New Roman" w:cs="Times New Roman"/>
          <w:b/>
        </w:rPr>
        <w:t xml:space="preserve"> </w:t>
      </w:r>
    </w:p>
    <w:p w:rsidR="00B60FD1" w:rsidRPr="003D337E" w:rsidRDefault="00B60FD1" w:rsidP="00B60FD1">
      <w:pPr>
        <w:spacing w:after="0" w:line="240" w:lineRule="auto"/>
        <w:jc w:val="both"/>
        <w:rPr>
          <w:rFonts w:ascii="Times New Roman" w:hAnsi="Times New Roman" w:cs="Times New Roman"/>
        </w:rPr>
      </w:pPr>
      <w:r w:rsidRPr="003D337E">
        <w:rPr>
          <w:rFonts w:ascii="Times New Roman" w:hAnsi="Times New Roman" w:cs="Times New Roman"/>
        </w:rPr>
        <w:t xml:space="preserve">In Aeschylus’ </w:t>
      </w:r>
      <w:r w:rsidRPr="003D337E">
        <w:rPr>
          <w:rFonts w:ascii="Times New Roman" w:hAnsi="Times New Roman" w:cs="Times New Roman"/>
          <w:i/>
        </w:rPr>
        <w:t>Oresteia</w:t>
      </w:r>
      <w:r w:rsidRPr="003D337E">
        <w:rPr>
          <w:rFonts w:ascii="Times New Roman" w:hAnsi="Times New Roman" w:cs="Times New Roman"/>
        </w:rPr>
        <w:t xml:space="preserve">, the Sorofraternal complex is evident in the relationships between the siblings, Electra, Orestes, Chrysothemis. Through the </w:t>
      </w:r>
      <w:proofErr w:type="gramStart"/>
      <w:r w:rsidRPr="003D337E">
        <w:rPr>
          <w:rFonts w:ascii="Times New Roman" w:hAnsi="Times New Roman" w:cs="Times New Roman"/>
        </w:rPr>
        <w:t>siblings</w:t>
      </w:r>
      <w:proofErr w:type="gramEnd"/>
      <w:r w:rsidRPr="003D337E">
        <w:rPr>
          <w:rFonts w:ascii="Times New Roman" w:hAnsi="Times New Roman" w:cs="Times New Roman"/>
        </w:rPr>
        <w:t xml:space="preserve"> rivalry and tension between Electra and Chrysothemis, siblings who embody contrasting approaches to dealing family’s trauma; There are divergent views or avenging their father Agamemnon’s murder and addressing their mother Clytemnestra’s complicity in it. This creates tension between them. Electra’s drive for justice and loyalty to her father fuels her desire for revenge, while Chrysothemis prioritizes self-preservation and avoiding conflict. </w:t>
      </w:r>
    </w:p>
    <w:p w:rsidR="00B60FD1" w:rsidRDefault="00B60FD1" w:rsidP="00B60FD1">
      <w:pPr>
        <w:spacing w:after="0" w:line="240" w:lineRule="auto"/>
        <w:jc w:val="both"/>
        <w:rPr>
          <w:rFonts w:ascii="Times New Roman" w:hAnsi="Times New Roman" w:cs="Times New Roman"/>
        </w:rPr>
      </w:pPr>
    </w:p>
    <w:p w:rsidR="00B60FD1" w:rsidRPr="003D337E" w:rsidRDefault="00B60FD1" w:rsidP="00B60FD1">
      <w:pPr>
        <w:spacing w:after="0" w:line="240" w:lineRule="auto"/>
        <w:jc w:val="both"/>
        <w:rPr>
          <w:rFonts w:ascii="Times New Roman" w:hAnsi="Times New Roman" w:cs="Times New Roman"/>
        </w:rPr>
      </w:pPr>
      <w:r w:rsidRPr="003D337E">
        <w:rPr>
          <w:rFonts w:ascii="Times New Roman" w:hAnsi="Times New Roman" w:cs="Times New Roman"/>
        </w:rPr>
        <w:t xml:space="preserve">This sibling dynamic illustrate the Sorofraternal complex, highlighting the intricate web of emotions, loyalties, and conflicts that arise within sibling relationships. The tension between Electra and Chrysothemis serves as a microcosm for the larger themes of family loyalty and the complexities of human relationships. In the context of the Sorofraternal complex, the Electra Chrysothemis rivalry </w:t>
      </w:r>
      <w:r w:rsidRPr="003D337E">
        <w:rPr>
          <w:rFonts w:ascii="Times New Roman" w:hAnsi="Times New Roman" w:cs="Times New Roman"/>
        </w:rPr>
        <w:lastRenderedPageBreak/>
        <w:t xml:space="preserve">demonstrates how siblings’ relations can amplify emotional intensity for each other’s emotions, creating a volatile dynamic. Create conflicting loyalties also, as seen in Electra’s loyalty to her father versus Chrysothemis’ desire to maintain peace with their mother. This reflects societal expectations, where Sorofraternal complex illustrates contrast between Electra’s bold stance and Chrysothemis’ more submissive approach. </w:t>
      </w:r>
    </w:p>
    <w:p w:rsidR="00B60FD1" w:rsidRDefault="00B60FD1" w:rsidP="00B60FD1">
      <w:pPr>
        <w:spacing w:after="0" w:line="240" w:lineRule="auto"/>
        <w:jc w:val="both"/>
        <w:rPr>
          <w:rFonts w:ascii="Times New Roman" w:hAnsi="Times New Roman" w:cs="Times New Roman"/>
        </w:rPr>
      </w:pPr>
    </w:p>
    <w:p w:rsidR="00B60FD1" w:rsidRPr="003D337E" w:rsidRDefault="00B60FD1" w:rsidP="00B60FD1">
      <w:pPr>
        <w:spacing w:after="0" w:line="240" w:lineRule="auto"/>
        <w:jc w:val="both"/>
        <w:rPr>
          <w:rFonts w:ascii="Times New Roman" w:hAnsi="Times New Roman" w:cs="Times New Roman"/>
        </w:rPr>
      </w:pPr>
      <w:r w:rsidRPr="003D337E">
        <w:rPr>
          <w:rFonts w:ascii="Times New Roman" w:hAnsi="Times New Roman" w:cs="Times New Roman"/>
        </w:rPr>
        <w:t xml:space="preserve">Ancient Greek mythology is the foundation of this dynamic work. It shares rich connection with Aristotelian philosophical treatise just like Sophocles’ Antigone. Oresteia as a trilogy of tragic plays exemplified the principles of Greek tragedy. Aristotle’s ‘poetics’ outlines six elements of tragedy; plot, character, language, thought, spectacle and song. Aeschylus’ Oresteia typifies these elements, demonstrating a well-structure tragic narrative. Hamartia and peripeteia are exemplified. Orestes’ hamartia is his desire for revenge against his mother, Clytemnestra, which leads to a cycle of violence and tragedy. This ushered sudden reversal (peripeteia) in Orestes fate from being a noble avenger to being pursued by the furies. Orestes realizes the true nature of his actions and the consequence of his revenge </w:t>
      </w:r>
      <w:proofErr w:type="gramStart"/>
      <w:r w:rsidRPr="003D337E">
        <w:rPr>
          <w:rFonts w:ascii="Times New Roman" w:hAnsi="Times New Roman" w:cs="Times New Roman"/>
        </w:rPr>
        <w:t>illuminates</w:t>
      </w:r>
      <w:proofErr w:type="gramEnd"/>
      <w:r w:rsidRPr="003D337E">
        <w:rPr>
          <w:rFonts w:ascii="Times New Roman" w:hAnsi="Times New Roman" w:cs="Times New Roman"/>
        </w:rPr>
        <w:t xml:space="preserve"> moment of anagnorisis and this web of tragic events evoke feelings of pity and fear ultimately leading to catharsis.</w:t>
      </w:r>
    </w:p>
    <w:p w:rsidR="00B60FD1" w:rsidRDefault="00B60FD1" w:rsidP="00B60FD1">
      <w:pPr>
        <w:spacing w:after="0" w:line="240" w:lineRule="auto"/>
        <w:jc w:val="both"/>
        <w:rPr>
          <w:rFonts w:ascii="Times New Roman" w:hAnsi="Times New Roman" w:cs="Times New Roman"/>
        </w:rPr>
      </w:pPr>
    </w:p>
    <w:p w:rsidR="00B60FD1" w:rsidRPr="003D337E" w:rsidRDefault="00B60FD1" w:rsidP="00B60FD1">
      <w:pPr>
        <w:spacing w:after="0" w:line="240" w:lineRule="auto"/>
        <w:jc w:val="both"/>
        <w:rPr>
          <w:rFonts w:ascii="Times New Roman" w:hAnsi="Times New Roman" w:cs="Times New Roman"/>
        </w:rPr>
      </w:pPr>
      <w:r w:rsidRPr="003D337E">
        <w:rPr>
          <w:rFonts w:ascii="Times New Roman" w:hAnsi="Times New Roman" w:cs="Times New Roman"/>
        </w:rPr>
        <w:t>Aeschylus’</w:t>
      </w:r>
      <w:r w:rsidRPr="003D337E">
        <w:rPr>
          <w:rFonts w:ascii="Times New Roman" w:hAnsi="Times New Roman" w:cs="Times New Roman"/>
          <w:i/>
        </w:rPr>
        <w:t xml:space="preserve"> Oresteia</w:t>
      </w:r>
      <w:r w:rsidRPr="003D337E">
        <w:rPr>
          <w:rFonts w:ascii="Times New Roman" w:hAnsi="Times New Roman" w:cs="Times New Roman"/>
        </w:rPr>
        <w:t xml:space="preserve"> offers profound insights into the psychoanalytic underpinnings of revenge, inhabited by Sorofraternal as a fundamental theme of Sigmund Freud. Beyond the myth of this literary work, it probes critical psychoanalytic concept, specifically; the id, primitive desire, which focuses on the Sorofraternal complex, to characters of Orestes and Electra Electra’s long for Orestes:</w:t>
      </w:r>
    </w:p>
    <w:p w:rsidR="00B60FD1" w:rsidRPr="003D337E" w:rsidRDefault="00B60FD1" w:rsidP="00B60FD1">
      <w:pPr>
        <w:spacing w:after="0" w:line="240" w:lineRule="auto"/>
        <w:jc w:val="both"/>
        <w:rPr>
          <w:rFonts w:ascii="Times New Roman" w:hAnsi="Times New Roman" w:cs="Times New Roman"/>
        </w:rPr>
      </w:pPr>
      <w:r w:rsidRPr="003D337E">
        <w:rPr>
          <w:rFonts w:ascii="Times New Roman" w:hAnsi="Times New Roman" w:cs="Times New Roman"/>
        </w:rPr>
        <w:tab/>
        <w:t>“Oh. Orestes, dearest brother, whereare you? Why do you delay, and leave me to suffer?”</w:t>
      </w:r>
    </w:p>
    <w:p w:rsidR="00B60FD1" w:rsidRPr="003D337E" w:rsidRDefault="00B60FD1" w:rsidP="00B60FD1">
      <w:pPr>
        <w:spacing w:after="0" w:line="240" w:lineRule="auto"/>
        <w:jc w:val="both"/>
        <w:rPr>
          <w:rFonts w:ascii="Times New Roman" w:hAnsi="Times New Roman" w:cs="Times New Roman"/>
        </w:rPr>
      </w:pPr>
      <w:r w:rsidRPr="003D337E">
        <w:rPr>
          <w:rFonts w:ascii="Times New Roman" w:hAnsi="Times New Roman" w:cs="Times New Roman"/>
        </w:rPr>
        <w:t>Orestes conflicting feelings towards Electra:</w:t>
      </w:r>
    </w:p>
    <w:p w:rsidR="00B60FD1" w:rsidRPr="003D337E" w:rsidRDefault="00B60FD1" w:rsidP="00B60FD1">
      <w:pPr>
        <w:spacing w:after="0" w:line="240" w:lineRule="auto"/>
        <w:jc w:val="both"/>
        <w:rPr>
          <w:rFonts w:ascii="Times New Roman" w:hAnsi="Times New Roman" w:cs="Times New Roman"/>
        </w:rPr>
      </w:pPr>
      <w:r w:rsidRPr="003D337E">
        <w:rPr>
          <w:rFonts w:ascii="Times New Roman" w:hAnsi="Times New Roman" w:cs="Times New Roman"/>
        </w:rPr>
        <w:tab/>
        <w:t xml:space="preserve">“Sister, dear sister, l am </w:t>
      </w:r>
      <w:proofErr w:type="gramStart"/>
      <w:r w:rsidRPr="003D337E">
        <w:rPr>
          <w:rFonts w:ascii="Times New Roman" w:hAnsi="Times New Roman" w:cs="Times New Roman"/>
        </w:rPr>
        <w:t>tore</w:t>
      </w:r>
      <w:proofErr w:type="gramEnd"/>
      <w:r w:rsidRPr="003D337E">
        <w:rPr>
          <w:rFonts w:ascii="Times New Roman" w:hAnsi="Times New Roman" w:cs="Times New Roman"/>
        </w:rPr>
        <w:t xml:space="preserve"> apart by conflicting desires, and my heart is heavy”</w:t>
      </w:r>
    </w:p>
    <w:p w:rsidR="00B60FD1" w:rsidRPr="003D337E" w:rsidRDefault="00B60FD1" w:rsidP="00B60FD1">
      <w:pPr>
        <w:spacing w:after="0" w:line="240" w:lineRule="auto"/>
        <w:jc w:val="both"/>
        <w:rPr>
          <w:rFonts w:ascii="Times New Roman" w:hAnsi="Times New Roman" w:cs="Times New Roman"/>
        </w:rPr>
      </w:pPr>
      <w:r w:rsidRPr="003D337E">
        <w:rPr>
          <w:rFonts w:ascii="Times New Roman" w:hAnsi="Times New Roman" w:cs="Times New Roman"/>
        </w:rPr>
        <w:t xml:space="preserve"> Orestes psyche id ‘Orestes’ primitive desire for revenge against his mother Clytemnestra drives his action, thereby beclouding his rational thinking (Ego) is conflicted as he suggests with the moral implication of his actions. This is as a result of justice and morality is shaped by the father (Agamemnon)’s legacy and the societal expectations (Superego) placed upon him. On the other hand, Electra psyche’s id; desires for revenge just like her brother Orestes, against her mother Clytemnestra is fuelled by her feelings; anger, hurt, and betrayal. Her Ego becomes irrational, thinking with intense emotions leading her advocate revenge. Her Superego was shaped just like her brother ‘Orestes, whose sense of justice and morality is shaped by his loyalty to his father, Agamemnon to restore honour to his household.</w:t>
      </w:r>
    </w:p>
    <w:p w:rsidR="00B60FD1" w:rsidRDefault="00B60FD1" w:rsidP="00B60FD1">
      <w:pPr>
        <w:spacing w:after="0" w:line="240" w:lineRule="auto"/>
        <w:jc w:val="both"/>
        <w:rPr>
          <w:rFonts w:ascii="Times New Roman" w:hAnsi="Times New Roman" w:cs="Times New Roman"/>
        </w:rPr>
      </w:pPr>
    </w:p>
    <w:p w:rsidR="00B60FD1" w:rsidRPr="003D337E" w:rsidRDefault="00B60FD1" w:rsidP="00B60FD1">
      <w:pPr>
        <w:spacing w:after="0" w:line="240" w:lineRule="auto"/>
        <w:jc w:val="both"/>
        <w:rPr>
          <w:rFonts w:ascii="Times New Roman" w:hAnsi="Times New Roman" w:cs="Times New Roman"/>
        </w:rPr>
      </w:pPr>
      <w:r w:rsidRPr="003D337E">
        <w:rPr>
          <w:rFonts w:ascii="Times New Roman" w:hAnsi="Times New Roman" w:cs="Times New Roman"/>
        </w:rPr>
        <w:t>By examining the Sorofraternal complex classical heroism dynamics between Orestes and Electra through psychoanalytic lens, one can gain a deeper understanding of the complex emotions and desires that drive their actions.</w:t>
      </w:r>
    </w:p>
    <w:p w:rsidR="00B60FD1" w:rsidRPr="003D337E" w:rsidRDefault="00B60FD1" w:rsidP="00B60FD1">
      <w:pPr>
        <w:spacing w:after="0" w:line="240" w:lineRule="auto"/>
        <w:jc w:val="both"/>
        <w:rPr>
          <w:rFonts w:ascii="Times New Roman" w:hAnsi="Times New Roman" w:cs="Times New Roman"/>
          <w:b/>
        </w:rPr>
      </w:pPr>
    </w:p>
    <w:p w:rsidR="00B60FD1" w:rsidRPr="003D337E" w:rsidRDefault="00B60FD1" w:rsidP="00B60FD1">
      <w:pPr>
        <w:spacing w:after="0" w:line="240" w:lineRule="auto"/>
        <w:jc w:val="both"/>
        <w:rPr>
          <w:rFonts w:ascii="Times New Roman" w:hAnsi="Times New Roman" w:cs="Times New Roman"/>
          <w:b/>
        </w:rPr>
      </w:pPr>
      <w:r w:rsidRPr="003D337E">
        <w:rPr>
          <w:rFonts w:ascii="Times New Roman" w:hAnsi="Times New Roman" w:cs="Times New Roman"/>
          <w:b/>
        </w:rPr>
        <w:t>Conclusion</w:t>
      </w:r>
    </w:p>
    <w:p w:rsidR="00B60FD1" w:rsidRPr="003D337E" w:rsidRDefault="00B60FD1" w:rsidP="00B60FD1">
      <w:pPr>
        <w:spacing w:after="0" w:line="240" w:lineRule="auto"/>
        <w:jc w:val="both"/>
        <w:rPr>
          <w:rFonts w:ascii="Times New Roman" w:hAnsi="Times New Roman" w:cs="Times New Roman"/>
        </w:rPr>
      </w:pPr>
      <w:r w:rsidRPr="003D337E">
        <w:rPr>
          <w:rFonts w:ascii="Times New Roman" w:hAnsi="Times New Roman" w:cs="Times New Roman"/>
        </w:rPr>
        <w:t xml:space="preserve">This study has explored the Sorofraternal complex, a phenomenon in which siblings; relationships are marked by intense emotions, conflict and shared desires, through the lens of Psychoanalytic theory. By examining the classical dramas, Antigone and Oresteia, the study has gained a deeper understanding of the complex emotions and desires that drive sibling relationships. </w:t>
      </w:r>
    </w:p>
    <w:p w:rsidR="00B60FD1" w:rsidRDefault="00B60FD1" w:rsidP="00B60FD1">
      <w:pPr>
        <w:spacing w:after="0" w:line="240" w:lineRule="auto"/>
        <w:jc w:val="both"/>
        <w:rPr>
          <w:rFonts w:ascii="Times New Roman" w:hAnsi="Times New Roman" w:cs="Times New Roman"/>
        </w:rPr>
      </w:pPr>
    </w:p>
    <w:p w:rsidR="00B60FD1" w:rsidRPr="003D337E" w:rsidRDefault="00B60FD1" w:rsidP="00B60FD1">
      <w:pPr>
        <w:spacing w:after="0" w:line="240" w:lineRule="auto"/>
        <w:jc w:val="both"/>
        <w:rPr>
          <w:rFonts w:ascii="Times New Roman" w:hAnsi="Times New Roman" w:cs="Times New Roman"/>
        </w:rPr>
      </w:pPr>
      <w:r w:rsidRPr="003D337E">
        <w:rPr>
          <w:rFonts w:ascii="Times New Roman" w:hAnsi="Times New Roman" w:cs="Times New Roman"/>
        </w:rPr>
        <w:t>The analyses of Antigone and Oresteia have revealed that sorofraternal complex is a pervasive element in both dramas. The relationship between Antigone and Polynices as well as Orestes and Electra are marked by intense emotions, conflicts, and shared desire. These deeply devoted relationships are shaped by the siblings’ shared experiences, desires and sense of responsibility, which create a complex web of emotion and conflicts. Through the lens of psychoanalytic theory, we have seen that the sorofraternal complex is driven by the siblings’ unconscious desires, repressed emotions, and conflicting sense of identity. The sense of shared guilt and responsibility that arises from this experience catalyzes the siblings’ conflicting desires and intensify their inner struggles and heighten tensions between them.</w:t>
      </w:r>
    </w:p>
    <w:p w:rsidR="00B60FD1" w:rsidRPr="003D337E" w:rsidRDefault="00B60FD1" w:rsidP="00B60FD1">
      <w:pPr>
        <w:spacing w:after="0" w:line="240" w:lineRule="auto"/>
        <w:jc w:val="both"/>
        <w:rPr>
          <w:rFonts w:ascii="Times New Roman" w:hAnsi="Times New Roman" w:cs="Times New Roman"/>
        </w:rPr>
      </w:pPr>
      <w:r w:rsidRPr="003D337E">
        <w:rPr>
          <w:rFonts w:ascii="Times New Roman" w:hAnsi="Times New Roman" w:cs="Times New Roman"/>
        </w:rPr>
        <w:t xml:space="preserve">Furthermore, the study has shown that Sorofraternal complex is not only a product of the Siblings’ individual psyches, but also a reflection of the societal and cultural norms that govern their relationships. </w:t>
      </w:r>
      <w:r w:rsidRPr="003D337E">
        <w:rPr>
          <w:rFonts w:ascii="Times New Roman" w:hAnsi="Times New Roman" w:cs="Times New Roman"/>
        </w:rPr>
        <w:lastRenderedPageBreak/>
        <w:t>The dramas highlight the societal expectations placed in siblings, particularly in ancient Greek culture, where family, loyalty and honour were paramount.</w:t>
      </w:r>
    </w:p>
    <w:p w:rsidR="00B60FD1" w:rsidRDefault="00B60FD1" w:rsidP="00B60FD1">
      <w:pPr>
        <w:spacing w:after="0" w:line="240" w:lineRule="auto"/>
        <w:jc w:val="both"/>
        <w:rPr>
          <w:rFonts w:ascii="Times New Roman" w:hAnsi="Times New Roman" w:cs="Times New Roman"/>
          <w:b/>
        </w:rPr>
      </w:pPr>
    </w:p>
    <w:p w:rsidR="00B60FD1" w:rsidRPr="003D337E" w:rsidRDefault="00B60FD1" w:rsidP="00B60FD1">
      <w:pPr>
        <w:spacing w:after="0" w:line="240" w:lineRule="auto"/>
        <w:jc w:val="both"/>
        <w:rPr>
          <w:rFonts w:ascii="Times New Roman" w:hAnsi="Times New Roman" w:cs="Times New Roman"/>
        </w:rPr>
      </w:pPr>
      <w:r w:rsidRPr="003D337E">
        <w:rPr>
          <w:rFonts w:ascii="Times New Roman" w:hAnsi="Times New Roman" w:cs="Times New Roman"/>
          <w:b/>
        </w:rPr>
        <w:t>References</w:t>
      </w:r>
    </w:p>
    <w:p w:rsidR="00B60FD1" w:rsidRDefault="00B60FD1" w:rsidP="00B60FD1">
      <w:pPr>
        <w:spacing w:after="0" w:line="240" w:lineRule="auto"/>
        <w:jc w:val="both"/>
        <w:rPr>
          <w:rFonts w:ascii="Times New Roman" w:hAnsi="Times New Roman" w:cs="Times New Roman"/>
        </w:rPr>
      </w:pPr>
      <w:r w:rsidRPr="003D337E">
        <w:rPr>
          <w:rFonts w:ascii="Times New Roman" w:hAnsi="Times New Roman" w:cs="Times New Roman"/>
        </w:rPr>
        <w:t xml:space="preserve">Abrams, M.H. and Harpham G.G (2012). </w:t>
      </w:r>
      <w:r w:rsidRPr="003D337E">
        <w:rPr>
          <w:rFonts w:ascii="Times New Roman" w:hAnsi="Times New Roman" w:cs="Times New Roman"/>
          <w:i/>
        </w:rPr>
        <w:t>A Glossary of literary Terms</w:t>
      </w:r>
      <w:r w:rsidRPr="003D337E">
        <w:rPr>
          <w:rFonts w:ascii="Times New Roman" w:hAnsi="Times New Roman" w:cs="Times New Roman"/>
        </w:rPr>
        <w:t xml:space="preserve">. USA. Michael </w:t>
      </w:r>
      <w:r w:rsidRPr="003D337E">
        <w:rPr>
          <w:rFonts w:ascii="Times New Roman" w:hAnsi="Times New Roman" w:cs="Times New Roman"/>
        </w:rPr>
        <w:tab/>
        <w:t>Rosenberg</w:t>
      </w:r>
    </w:p>
    <w:p w:rsidR="00B60FD1" w:rsidRPr="003D337E" w:rsidRDefault="00B60FD1" w:rsidP="00B60FD1">
      <w:pPr>
        <w:spacing w:after="0" w:line="240" w:lineRule="auto"/>
        <w:ind w:firstLine="720"/>
        <w:jc w:val="both"/>
        <w:rPr>
          <w:rFonts w:ascii="Times New Roman" w:hAnsi="Times New Roman" w:cs="Times New Roman"/>
        </w:rPr>
      </w:pPr>
      <w:r w:rsidRPr="003D337E">
        <w:rPr>
          <w:rFonts w:ascii="Times New Roman" w:hAnsi="Times New Roman" w:cs="Times New Roman"/>
        </w:rPr>
        <w:t xml:space="preserve"> &amp; Lyn Uhi (10th Edition). PP 93.</w:t>
      </w:r>
    </w:p>
    <w:p w:rsidR="00B60FD1" w:rsidRDefault="00B60FD1" w:rsidP="00B60FD1">
      <w:pPr>
        <w:spacing w:after="0" w:line="240" w:lineRule="auto"/>
        <w:jc w:val="both"/>
        <w:rPr>
          <w:rFonts w:ascii="Times New Roman" w:hAnsi="Times New Roman" w:cs="Times New Roman"/>
        </w:rPr>
      </w:pPr>
      <w:r w:rsidRPr="003D337E">
        <w:rPr>
          <w:rFonts w:ascii="Times New Roman" w:hAnsi="Times New Roman" w:cs="Times New Roman"/>
        </w:rPr>
        <w:t xml:space="preserve">Almansi, </w:t>
      </w:r>
      <w:proofErr w:type="gramStart"/>
      <w:r w:rsidRPr="003D337E">
        <w:rPr>
          <w:rFonts w:ascii="Times New Roman" w:hAnsi="Times New Roman" w:cs="Times New Roman"/>
        </w:rPr>
        <w:t>R..J.</w:t>
      </w:r>
      <w:proofErr w:type="gramEnd"/>
      <w:r w:rsidRPr="003D337E">
        <w:rPr>
          <w:rFonts w:ascii="Times New Roman" w:hAnsi="Times New Roman" w:cs="Times New Roman"/>
        </w:rPr>
        <w:t xml:space="preserve"> (1991) A psychoanalytic study of Sophocles’ Antigone” </w:t>
      </w:r>
    </w:p>
    <w:p w:rsidR="00B60FD1" w:rsidRPr="003D337E" w:rsidRDefault="00B60FD1" w:rsidP="00B60FD1">
      <w:pPr>
        <w:spacing w:after="0" w:line="240" w:lineRule="auto"/>
        <w:jc w:val="both"/>
        <w:rPr>
          <w:rFonts w:ascii="Times New Roman" w:hAnsi="Times New Roman" w:cs="Times New Roman"/>
        </w:rPr>
      </w:pPr>
      <w:r>
        <w:rPr>
          <w:rFonts w:ascii="Times New Roman" w:hAnsi="Times New Roman" w:cs="Times New Roman"/>
        </w:rPr>
        <w:tab/>
      </w:r>
      <w:hyperlink r:id="rId9" w:history="1">
        <w:r w:rsidRPr="003D337E">
          <w:rPr>
            <w:rStyle w:val="Hyperlink"/>
            <w:rFonts w:ascii="Times New Roman" w:hAnsi="Times New Roman" w:cs="Times New Roman"/>
            <w:color w:val="auto"/>
            <w:u w:val="none"/>
          </w:rPr>
          <w:t>https://eu.docworksspace.com/d/SLH21-qeArcd770G</w:t>
        </w:r>
      </w:hyperlink>
    </w:p>
    <w:p w:rsidR="00B60FD1" w:rsidRPr="003D337E" w:rsidRDefault="00B60FD1" w:rsidP="00B60FD1">
      <w:pPr>
        <w:spacing w:after="0" w:line="240" w:lineRule="auto"/>
        <w:jc w:val="both"/>
        <w:rPr>
          <w:rFonts w:ascii="Times New Roman" w:hAnsi="Times New Roman" w:cs="Times New Roman"/>
        </w:rPr>
      </w:pPr>
      <w:r w:rsidRPr="003D337E">
        <w:rPr>
          <w:rFonts w:ascii="Times New Roman" w:hAnsi="Times New Roman" w:cs="Times New Roman"/>
        </w:rPr>
        <w:t xml:space="preserve">Apelbaum, S. and Koss, R. (1997).  </w:t>
      </w:r>
      <w:r w:rsidRPr="003D337E">
        <w:rPr>
          <w:rFonts w:ascii="Times New Roman" w:hAnsi="Times New Roman" w:cs="Times New Roman"/>
          <w:i/>
        </w:rPr>
        <w:t>Aristotle Poetics</w:t>
      </w:r>
      <w:r w:rsidRPr="003D337E">
        <w:rPr>
          <w:rFonts w:ascii="Times New Roman" w:hAnsi="Times New Roman" w:cs="Times New Roman"/>
        </w:rPr>
        <w:t>. Newyork: Dover Publication, INC.</w:t>
      </w:r>
    </w:p>
    <w:p w:rsidR="00B60FD1" w:rsidRPr="003D337E" w:rsidRDefault="00B60FD1" w:rsidP="00B60FD1">
      <w:pPr>
        <w:spacing w:after="0" w:line="240" w:lineRule="auto"/>
        <w:jc w:val="both"/>
        <w:rPr>
          <w:rFonts w:ascii="Times New Roman" w:hAnsi="Times New Roman" w:cs="Times New Roman"/>
        </w:rPr>
      </w:pPr>
      <w:r w:rsidRPr="003D337E">
        <w:rPr>
          <w:rFonts w:ascii="Times New Roman" w:hAnsi="Times New Roman" w:cs="Times New Roman"/>
        </w:rPr>
        <w:t>Chidi-</w:t>
      </w:r>
      <w:proofErr w:type="gramStart"/>
      <w:r w:rsidRPr="003D337E">
        <w:rPr>
          <w:rFonts w:ascii="Times New Roman" w:hAnsi="Times New Roman" w:cs="Times New Roman"/>
        </w:rPr>
        <w:t>Igbokwe ,</w:t>
      </w:r>
      <w:proofErr w:type="gramEnd"/>
      <w:r w:rsidRPr="003D337E">
        <w:rPr>
          <w:rFonts w:ascii="Times New Roman" w:hAnsi="Times New Roman" w:cs="Times New Roman"/>
        </w:rPr>
        <w:t xml:space="preserve"> M.A. (2022). The concept and characteristics of classical, Renaissance and </w:t>
      </w:r>
      <w:r w:rsidRPr="003D337E">
        <w:rPr>
          <w:rFonts w:ascii="Times New Roman" w:hAnsi="Times New Roman" w:cs="Times New Roman"/>
        </w:rPr>
        <w:tab/>
        <w:t xml:space="preserve">modern Tragedies European Journal of English Language and Literature </w:t>
      </w:r>
      <w:r w:rsidRPr="003D337E">
        <w:rPr>
          <w:rFonts w:ascii="Times New Roman" w:hAnsi="Times New Roman" w:cs="Times New Roman"/>
        </w:rPr>
        <w:tab/>
        <w:t xml:space="preserve">studies. </w:t>
      </w:r>
      <w:r w:rsidRPr="003D337E">
        <w:rPr>
          <w:rFonts w:ascii="Times New Roman" w:hAnsi="Times New Roman" w:cs="Times New Roman"/>
        </w:rPr>
        <w:tab/>
      </w:r>
      <w:proofErr w:type="gramStart"/>
      <w:r w:rsidRPr="003D337E">
        <w:rPr>
          <w:rFonts w:ascii="Times New Roman" w:hAnsi="Times New Roman" w:cs="Times New Roman"/>
        </w:rPr>
        <w:t>https:..</w:t>
      </w:r>
      <w:proofErr w:type="gramEnd"/>
      <w:r w:rsidRPr="003D337E">
        <w:rPr>
          <w:rFonts w:ascii="Times New Roman" w:hAnsi="Times New Roman" w:cs="Times New Roman"/>
        </w:rPr>
        <w:t>www.eajournals.org/vol.10,No.8, pp 42-43.</w:t>
      </w:r>
    </w:p>
    <w:p w:rsidR="00B60FD1" w:rsidRPr="003D337E" w:rsidRDefault="00B60FD1" w:rsidP="00B60FD1">
      <w:pPr>
        <w:spacing w:after="0" w:line="240" w:lineRule="auto"/>
        <w:jc w:val="both"/>
        <w:rPr>
          <w:rFonts w:ascii="Times New Roman" w:hAnsi="Times New Roman" w:cs="Times New Roman"/>
        </w:rPr>
      </w:pPr>
      <w:r w:rsidRPr="003D337E">
        <w:rPr>
          <w:rFonts w:ascii="Times New Roman" w:hAnsi="Times New Roman" w:cs="Times New Roman"/>
        </w:rPr>
        <w:t>Classical Dramatists. Bloomsbury.https://www.bloomsbury.com/us/series/classical.dramatists</w:t>
      </w:r>
    </w:p>
    <w:p w:rsidR="00B60FD1" w:rsidRPr="003D337E" w:rsidRDefault="00B60FD1" w:rsidP="00B60FD1">
      <w:pPr>
        <w:spacing w:after="0" w:line="240" w:lineRule="auto"/>
        <w:jc w:val="both"/>
        <w:rPr>
          <w:rFonts w:ascii="Times New Roman" w:hAnsi="Times New Roman" w:cs="Times New Roman"/>
        </w:rPr>
      </w:pPr>
      <w:hyperlink r:id="rId10" w:history="1">
        <w:r w:rsidRPr="003D337E">
          <w:rPr>
            <w:rStyle w:val="Hyperlink"/>
            <w:rFonts w:ascii="Times New Roman" w:hAnsi="Times New Roman" w:cs="Times New Roman"/>
            <w:color w:val="auto"/>
            <w:u w:val="none"/>
          </w:rPr>
          <w:t>https://www.britannnica.com/art/hamartia</w:t>
        </w:r>
      </w:hyperlink>
    </w:p>
    <w:p w:rsidR="00B60FD1" w:rsidRPr="003D337E" w:rsidRDefault="00B60FD1" w:rsidP="00B60FD1">
      <w:pPr>
        <w:spacing w:after="0" w:line="240" w:lineRule="auto"/>
        <w:jc w:val="both"/>
        <w:rPr>
          <w:rFonts w:ascii="Times New Roman" w:hAnsi="Times New Roman" w:cs="Times New Roman"/>
        </w:rPr>
      </w:pPr>
      <w:hyperlink r:id="rId11" w:history="1">
        <w:r w:rsidRPr="003D337E">
          <w:rPr>
            <w:rStyle w:val="Hyperlink"/>
            <w:rFonts w:ascii="Times New Roman" w:hAnsi="Times New Roman" w:cs="Times New Roman"/>
            <w:color w:val="auto"/>
            <w:u w:val="none"/>
          </w:rPr>
          <w:t>https://www.sparknotes.com</w:t>
        </w:r>
      </w:hyperlink>
      <w:r w:rsidRPr="003D337E">
        <w:rPr>
          <w:rFonts w:ascii="Times New Roman" w:hAnsi="Times New Roman" w:cs="Times New Roman"/>
        </w:rPr>
        <w:t xml:space="preserve"> (Agamemnon: Full Play Summary)</w:t>
      </w:r>
    </w:p>
    <w:p w:rsidR="00B60FD1" w:rsidRPr="003D337E" w:rsidRDefault="00B60FD1" w:rsidP="00B60FD1">
      <w:pPr>
        <w:spacing w:after="0" w:line="240" w:lineRule="auto"/>
        <w:jc w:val="both"/>
        <w:rPr>
          <w:rFonts w:ascii="Times New Roman" w:hAnsi="Times New Roman" w:cs="Times New Roman"/>
        </w:rPr>
      </w:pPr>
      <w:hyperlink r:id="rId12" w:history="1">
        <w:r w:rsidRPr="003D337E">
          <w:rPr>
            <w:rStyle w:val="Hyperlink"/>
            <w:rFonts w:ascii="Times New Roman" w:hAnsi="Times New Roman" w:cs="Times New Roman"/>
            <w:color w:val="auto"/>
            <w:u w:val="none"/>
          </w:rPr>
          <w:t>https://study.com</w:t>
        </w:r>
      </w:hyperlink>
      <w:r w:rsidRPr="003D337E">
        <w:rPr>
          <w:rFonts w:ascii="Times New Roman" w:hAnsi="Times New Roman" w:cs="Times New Roman"/>
        </w:rPr>
        <w:t xml:space="preserve"> (Aeschylus: The Oresteia Triology/Summary, Greek Mythology&amp; Themes).</w:t>
      </w:r>
    </w:p>
    <w:p w:rsidR="00B60FD1" w:rsidRPr="003D337E" w:rsidRDefault="00B60FD1" w:rsidP="00B60FD1">
      <w:pPr>
        <w:spacing w:after="0" w:line="240" w:lineRule="auto"/>
        <w:jc w:val="both"/>
        <w:rPr>
          <w:rFonts w:ascii="Times New Roman" w:hAnsi="Times New Roman" w:cs="Times New Roman"/>
        </w:rPr>
      </w:pPr>
      <w:hyperlink r:id="rId13" w:history="1">
        <w:r w:rsidRPr="003D337E">
          <w:rPr>
            <w:rStyle w:val="Hyperlink"/>
            <w:rFonts w:ascii="Times New Roman" w:hAnsi="Times New Roman" w:cs="Times New Roman"/>
            <w:color w:val="auto"/>
            <w:u w:val="none"/>
          </w:rPr>
          <w:t>https://www.sparknotes.com/lit/illiad/summary</w:t>
        </w:r>
      </w:hyperlink>
      <w:r w:rsidRPr="003D337E">
        <w:rPr>
          <w:rFonts w:ascii="Times New Roman" w:hAnsi="Times New Roman" w:cs="Times New Roman"/>
        </w:rPr>
        <w:t>. (The IIiad: Full Poem Summary)</w:t>
      </w:r>
    </w:p>
    <w:p w:rsidR="00B60FD1" w:rsidRPr="003D337E" w:rsidRDefault="00B60FD1" w:rsidP="00B60FD1">
      <w:pPr>
        <w:spacing w:after="0" w:line="240" w:lineRule="auto"/>
        <w:jc w:val="both"/>
        <w:rPr>
          <w:rFonts w:ascii="Times New Roman" w:hAnsi="Times New Roman" w:cs="Times New Roman"/>
        </w:rPr>
      </w:pPr>
      <w:hyperlink r:id="rId14" w:history="1">
        <w:r w:rsidRPr="003D337E">
          <w:rPr>
            <w:rStyle w:val="Hyperlink"/>
            <w:rFonts w:ascii="Times New Roman" w:hAnsi="Times New Roman" w:cs="Times New Roman"/>
            <w:color w:val="auto"/>
            <w:u w:val="none"/>
          </w:rPr>
          <w:t>https://books.goggle.com.ng/books/about/toem</w:t>
        </w:r>
      </w:hyperlink>
      <w:r w:rsidRPr="003D337E">
        <w:rPr>
          <w:rFonts w:ascii="Times New Roman" w:hAnsi="Times New Roman" w:cs="Times New Roman"/>
        </w:rPr>
        <w:t xml:space="preserve"> and Taboo.hml?id</w:t>
      </w:r>
    </w:p>
    <w:p w:rsidR="00B60FD1" w:rsidRPr="003D337E" w:rsidRDefault="00B60FD1" w:rsidP="00B60FD1">
      <w:pPr>
        <w:spacing w:after="0" w:line="240" w:lineRule="auto"/>
        <w:jc w:val="both"/>
        <w:rPr>
          <w:rFonts w:ascii="Times New Roman" w:hAnsi="Times New Roman" w:cs="Times New Roman"/>
        </w:rPr>
      </w:pPr>
      <w:r w:rsidRPr="003D337E">
        <w:rPr>
          <w:rFonts w:ascii="Times New Roman" w:hAnsi="Times New Roman" w:cs="Times New Roman"/>
        </w:rPr>
        <w:t xml:space="preserve">Mbanefo, S.O. (2017). “Applied Psychoanalysis of Lawrence’s ‘The Rainbow and Women in </w:t>
      </w:r>
      <w:r w:rsidRPr="003D337E">
        <w:rPr>
          <w:rFonts w:ascii="Times New Roman" w:hAnsi="Times New Roman" w:cs="Times New Roman"/>
        </w:rPr>
        <w:tab/>
        <w:t>Love” https://journals.ezenwaohaetorc.org.</w:t>
      </w:r>
    </w:p>
    <w:p w:rsidR="00B60FD1" w:rsidRDefault="00B60FD1" w:rsidP="00B60FD1">
      <w:pPr>
        <w:spacing w:after="0" w:line="240" w:lineRule="auto"/>
        <w:jc w:val="both"/>
        <w:rPr>
          <w:rFonts w:ascii="Times New Roman" w:hAnsi="Times New Roman" w:cs="Times New Roman"/>
        </w:rPr>
      </w:pPr>
      <w:r w:rsidRPr="003D337E">
        <w:rPr>
          <w:rFonts w:ascii="Times New Roman" w:hAnsi="Times New Roman" w:cs="Times New Roman"/>
        </w:rPr>
        <w:t xml:space="preserve">Nuran, A.A. and Gultom, F.E (nd) “Drama: classical versus Modern” pp 434-441. </w:t>
      </w:r>
    </w:p>
    <w:p w:rsidR="00B60FD1" w:rsidRPr="003D337E" w:rsidRDefault="00B60FD1" w:rsidP="00B60FD1">
      <w:pPr>
        <w:spacing w:after="0" w:line="240" w:lineRule="auto"/>
        <w:jc w:val="both"/>
        <w:rPr>
          <w:rFonts w:ascii="Times New Roman" w:hAnsi="Times New Roman" w:cs="Times New Roman"/>
        </w:rPr>
      </w:pPr>
      <w:r>
        <w:rPr>
          <w:rFonts w:ascii="Times New Roman" w:hAnsi="Times New Roman" w:cs="Times New Roman"/>
        </w:rPr>
        <w:tab/>
      </w:r>
      <w:hyperlink r:id="rId15" w:history="1">
        <w:r w:rsidRPr="003D337E">
          <w:rPr>
            <w:rStyle w:val="Hyperlink"/>
            <w:rFonts w:ascii="Times New Roman" w:hAnsi="Times New Roman" w:cs="Times New Roman"/>
            <w:color w:val="auto"/>
            <w:u w:val="none"/>
          </w:rPr>
          <w:t>https://eu.docworkspace.com/d/s/Nal-qeArrv6709</w:t>
        </w:r>
      </w:hyperlink>
      <w:r w:rsidRPr="003D337E">
        <w:rPr>
          <w:rFonts w:ascii="Times New Roman" w:hAnsi="Times New Roman" w:cs="Times New Roman"/>
        </w:rPr>
        <w:t xml:space="preserve">. </w:t>
      </w:r>
    </w:p>
    <w:p w:rsidR="00B60FD1" w:rsidRPr="003D337E" w:rsidRDefault="00B60FD1" w:rsidP="00B60FD1">
      <w:pPr>
        <w:spacing w:after="0" w:line="240" w:lineRule="auto"/>
        <w:jc w:val="both"/>
        <w:rPr>
          <w:rFonts w:ascii="Times New Roman" w:hAnsi="Times New Roman" w:cs="Times New Roman"/>
        </w:rPr>
      </w:pPr>
      <w:r w:rsidRPr="003D337E">
        <w:rPr>
          <w:rFonts w:ascii="Times New Roman" w:hAnsi="Times New Roman" w:cs="Times New Roman"/>
        </w:rPr>
        <w:t xml:space="preserve">Stephen, A. (2000). “Theorist in Psychoanalysis, 54”. </w:t>
      </w:r>
      <w:hyperlink r:id="rId16" w:history="1">
        <w:r w:rsidRPr="003D337E">
          <w:rPr>
            <w:rStyle w:val="Hyperlink"/>
            <w:rFonts w:ascii="Times New Roman" w:hAnsi="Times New Roman" w:cs="Times New Roman"/>
            <w:color w:val="auto"/>
            <w:u w:val="none"/>
          </w:rPr>
          <w:t>https://www.nytimes.com</w:t>
        </w:r>
      </w:hyperlink>
    </w:p>
    <w:p w:rsidR="00B60FD1" w:rsidRPr="003D337E" w:rsidRDefault="00B60FD1" w:rsidP="00B60FD1">
      <w:pPr>
        <w:spacing w:after="0" w:line="240" w:lineRule="auto"/>
        <w:jc w:val="both"/>
        <w:rPr>
          <w:rFonts w:ascii="Times New Roman" w:hAnsi="Times New Roman" w:cs="Times New Roman"/>
        </w:rPr>
      </w:pPr>
      <w:r w:rsidRPr="003D337E">
        <w:rPr>
          <w:rFonts w:ascii="Times New Roman" w:hAnsi="Times New Roman" w:cs="Times New Roman"/>
        </w:rPr>
        <w:t>Thomas Franklin, D.D, (1889) Antigone of Sophocles: Maynard’s English Classical Series-</w:t>
      </w:r>
      <w:r w:rsidRPr="003D337E">
        <w:rPr>
          <w:rFonts w:ascii="Times New Roman" w:hAnsi="Times New Roman" w:cs="Times New Roman"/>
        </w:rPr>
        <w:tab/>
        <w:t>No63. https://www.goggle.com.ng/books/edition/Antigone</w:t>
      </w:r>
    </w:p>
    <w:p w:rsidR="00B60FD1" w:rsidRPr="003D337E" w:rsidRDefault="00B60FD1" w:rsidP="00B60FD1">
      <w:pPr>
        <w:spacing w:after="0" w:line="240" w:lineRule="auto"/>
        <w:jc w:val="both"/>
        <w:rPr>
          <w:rFonts w:ascii="Times New Roman" w:hAnsi="Times New Roman" w:cs="Times New Roman"/>
        </w:rPr>
      </w:pPr>
      <w:r w:rsidRPr="003D337E">
        <w:rPr>
          <w:rFonts w:ascii="Times New Roman" w:hAnsi="Times New Roman" w:cs="Times New Roman"/>
        </w:rPr>
        <w:t>Webster’s Encyclopedia Dictionary of Literature pp 78-437.</w:t>
      </w:r>
    </w:p>
    <w:p w:rsidR="00B60FD1" w:rsidRPr="003D337E" w:rsidRDefault="00B60FD1" w:rsidP="00B60FD1">
      <w:pPr>
        <w:spacing w:after="0" w:line="240" w:lineRule="auto"/>
        <w:jc w:val="both"/>
        <w:rPr>
          <w:rFonts w:ascii="Times New Roman" w:hAnsi="Times New Roman" w:cs="Times New Roman"/>
        </w:rPr>
      </w:pPr>
    </w:p>
    <w:p w:rsidR="00B60FD1" w:rsidRPr="003D337E" w:rsidRDefault="00B60FD1" w:rsidP="00B60FD1">
      <w:pPr>
        <w:spacing w:after="0" w:line="240" w:lineRule="auto"/>
        <w:jc w:val="both"/>
        <w:rPr>
          <w:rFonts w:ascii="Times New Roman" w:hAnsi="Times New Roman" w:cs="Times New Roman"/>
        </w:rPr>
      </w:pPr>
    </w:p>
    <w:p w:rsidR="00B60FD1" w:rsidRPr="003D337E" w:rsidRDefault="00B60FD1" w:rsidP="00B60FD1">
      <w:pPr>
        <w:spacing w:after="0" w:line="240" w:lineRule="auto"/>
        <w:jc w:val="both"/>
        <w:rPr>
          <w:rFonts w:ascii="Times New Roman" w:hAnsi="Times New Roman" w:cs="Times New Roman"/>
        </w:rPr>
      </w:pPr>
    </w:p>
    <w:p w:rsidR="00B60FD1" w:rsidRPr="003D337E" w:rsidRDefault="00B60FD1" w:rsidP="00B60FD1">
      <w:pPr>
        <w:spacing w:after="0" w:line="240" w:lineRule="auto"/>
        <w:jc w:val="both"/>
        <w:rPr>
          <w:rFonts w:ascii="Times New Roman" w:hAnsi="Times New Roman" w:cs="Times New Roman"/>
        </w:rPr>
      </w:pPr>
    </w:p>
    <w:p w:rsidR="00B60FD1" w:rsidRPr="003D337E" w:rsidRDefault="00B60FD1" w:rsidP="00B60FD1">
      <w:pPr>
        <w:spacing w:after="0" w:line="240" w:lineRule="auto"/>
        <w:rPr>
          <w:rFonts w:ascii="Times New Roman" w:hAnsi="Times New Roman" w:cs="Times New Roman"/>
        </w:rPr>
      </w:pPr>
    </w:p>
    <w:p w:rsidR="00B60FD1" w:rsidRPr="003D337E" w:rsidRDefault="00B60FD1" w:rsidP="00B60FD1">
      <w:pPr>
        <w:spacing w:after="0" w:line="240" w:lineRule="auto"/>
        <w:rPr>
          <w:rFonts w:ascii="Times New Roman" w:hAnsi="Times New Roman" w:cs="Times New Roman"/>
        </w:rPr>
      </w:pPr>
    </w:p>
    <w:p w:rsidR="00E10116" w:rsidRPr="00B60FD1" w:rsidRDefault="00E10116" w:rsidP="00B60FD1"/>
    <w:sectPr w:rsidR="00E10116" w:rsidRPr="00B60FD1" w:rsidSect="00945F13">
      <w:headerReference w:type="default" r:id="rId17"/>
      <w:footerReference w:type="default" r:id="rId18"/>
      <w:pgSz w:w="11907" w:h="16839" w:code="9"/>
      <w:pgMar w:top="1440" w:right="1440" w:bottom="1440" w:left="1440" w:header="720" w:footer="720" w:gutter="0"/>
      <w:pgNumType w:start="177"/>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2E4" w:rsidRDefault="00AA02E4">
      <w:pPr>
        <w:spacing w:after="0" w:line="240" w:lineRule="auto"/>
      </w:pPr>
      <w:r>
        <w:separator/>
      </w:r>
    </w:p>
  </w:endnote>
  <w:endnote w:type="continuationSeparator" w:id="0">
    <w:p w:rsidR="00AA02E4" w:rsidRDefault="00AA0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FS Brabo">
    <w:altName w:val="Times New Roman"/>
    <w:panose1 w:val="00000000000000000000"/>
    <w:charset w:val="00"/>
    <w:family w:val="roman"/>
    <w:notTrueType/>
    <w:pitch w:val="default"/>
  </w:font>
  <w:font w:name="Liberation San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116" w:rsidRDefault="008A6C2D">
    <w:pPr>
      <w:pStyle w:val="Footer"/>
      <w:jc w:val="cente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sidR="00945F13">
      <w:rPr>
        <w:rFonts w:ascii="Times New Roman" w:hAnsi="Times New Roman" w:cs="Times New Roman"/>
        <w:noProof/>
        <w:sz w:val="20"/>
        <w:szCs w:val="20"/>
      </w:rPr>
      <w:t>184</w:t>
    </w:r>
    <w:r>
      <w:rPr>
        <w:rFonts w:ascii="Times New Roman" w:hAnsi="Times New Roman" w:cs="Times New Roman"/>
        <w:noProof/>
        <w:sz w:val="20"/>
        <w:szCs w:val="20"/>
      </w:rPr>
      <w:fldChar w:fldCharType="end"/>
    </w:r>
  </w:p>
  <w:p w:rsidR="00E10116" w:rsidRDefault="00E1011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2E4" w:rsidRDefault="00AA02E4">
      <w:pPr>
        <w:spacing w:after="0" w:line="240" w:lineRule="auto"/>
      </w:pPr>
      <w:r>
        <w:separator/>
      </w:r>
    </w:p>
  </w:footnote>
  <w:footnote w:type="continuationSeparator" w:id="0">
    <w:p w:rsidR="00AA02E4" w:rsidRDefault="00AA02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116" w:rsidRDefault="008A6C2D">
    <w:pPr>
      <w:pStyle w:val="Header"/>
      <w:pBdr>
        <w:bottom w:val="thickThinSmallGap" w:sz="24" w:space="1" w:color="823B0B"/>
      </w:pBdr>
      <w:shd w:val="clear" w:color="auto" w:fill="D99594"/>
      <w:jc w:val="center"/>
      <w:rPr>
        <w:rFonts w:ascii="Comic Sans MS" w:hAnsi="Comic Sans MS"/>
        <w:b/>
        <w:sz w:val="15"/>
        <w:szCs w:val="15"/>
      </w:rPr>
    </w:pPr>
    <w:r>
      <w:rPr>
        <w:rFonts w:ascii="Comic Sans MS" w:hAnsi="Comic Sans MS"/>
        <w:b/>
        <w:sz w:val="15"/>
        <w:szCs w:val="15"/>
      </w:rPr>
      <w:t>Nigerian Journal of Arts and Humanities (NJAH), Volume 5 Number 1, 2025 (ISSN: 2814-3760, E-ISSN: 2955-0343)</w:t>
    </w:r>
  </w:p>
  <w:p w:rsidR="00E10116" w:rsidRDefault="008A6C2D">
    <w:pPr>
      <w:pStyle w:val="Header"/>
      <w:pBdr>
        <w:bottom w:val="thickThinSmallGap" w:sz="24" w:space="1" w:color="823B0B"/>
      </w:pBdr>
      <w:shd w:val="clear" w:color="auto" w:fill="D99594"/>
      <w:jc w:val="center"/>
      <w:rPr>
        <w:rFonts w:ascii="Calibri Light" w:eastAsia="DengXian Light" w:hAnsi="Calibri Light"/>
        <w:sz w:val="32"/>
        <w:szCs w:val="32"/>
      </w:rPr>
    </w:pPr>
    <w:r>
      <w:rPr>
        <w:rFonts w:ascii="Times New Roman" w:hAnsi="Times New Roman"/>
        <w:b/>
        <w:noProof/>
        <w:sz w:val="16"/>
        <w:szCs w:val="16"/>
      </w:rPr>
      <w:t>Indexed in Google Scholar (Email: njahjournal@gmail.com) Nnamdi Azikiwe University, Awka, Nigeria</w:t>
    </w:r>
  </w:p>
  <w:p w:rsidR="00E10116" w:rsidRDefault="00E1011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ADE796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9EFCA2E6"/>
    <w:lvl w:ilvl="0" w:tplc="ACF235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000003"/>
    <w:multiLevelType w:val="hybridMultilevel"/>
    <w:tmpl w:val="C846E31C"/>
    <w:lvl w:ilvl="0" w:tplc="712AD1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000004"/>
    <w:multiLevelType w:val="hybridMultilevel"/>
    <w:tmpl w:val="A808B602"/>
    <w:lvl w:ilvl="0" w:tplc="20303D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0000005"/>
    <w:multiLevelType w:val="hybridMultilevel"/>
    <w:tmpl w:val="B87E5272"/>
    <w:lvl w:ilvl="0" w:tplc="AA620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0000006"/>
    <w:multiLevelType w:val="hybridMultilevel"/>
    <w:tmpl w:val="24425D24"/>
    <w:lvl w:ilvl="0" w:tplc="3864AE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0000007"/>
    <w:multiLevelType w:val="hybridMultilevel"/>
    <w:tmpl w:val="9DC87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3B7432E6"/>
    <w:lvl w:ilvl="0" w:tplc="3872F4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0000009"/>
    <w:multiLevelType w:val="hybridMultilevel"/>
    <w:tmpl w:val="3C18E0A6"/>
    <w:lvl w:ilvl="0" w:tplc="C4720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000000A"/>
    <w:multiLevelType w:val="hybridMultilevel"/>
    <w:tmpl w:val="A658EEB0"/>
    <w:lvl w:ilvl="0" w:tplc="AB7C5B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E96C4D"/>
    <w:multiLevelType w:val="singleLevel"/>
    <w:tmpl w:val="D3AE8631"/>
    <w:lvl w:ilvl="0">
      <w:start w:val="1"/>
      <w:numFmt w:val="bullet"/>
      <w:lvlText w:val=""/>
      <w:lvlJc w:val="left"/>
      <w:pPr>
        <w:tabs>
          <w:tab w:val="left" w:pos="420"/>
        </w:tabs>
        <w:ind w:left="420" w:hanging="420"/>
      </w:pPr>
      <w:rPr>
        <w:rFonts w:ascii="Wingdings" w:hAnsi="Wingdings" w:hint="default"/>
      </w:rPr>
    </w:lvl>
  </w:abstractNum>
  <w:num w:numId="1">
    <w:abstractNumId w:val="6"/>
  </w:num>
  <w:num w:numId="2">
    <w:abstractNumId w:val="10"/>
  </w:num>
  <w:num w:numId="3">
    <w:abstractNumId w:val="5"/>
  </w:num>
  <w:num w:numId="4">
    <w:abstractNumId w:val="7"/>
  </w:num>
  <w:num w:numId="5">
    <w:abstractNumId w:val="1"/>
  </w:num>
  <w:num w:numId="6">
    <w:abstractNumId w:val="2"/>
  </w:num>
  <w:num w:numId="7">
    <w:abstractNumId w:val="3"/>
  </w:num>
  <w:num w:numId="8">
    <w:abstractNumId w:val="4"/>
  </w:num>
  <w:num w:numId="9">
    <w:abstractNumId w:val="8"/>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116"/>
    <w:rsid w:val="008A6C2D"/>
    <w:rsid w:val="00945F13"/>
    <w:rsid w:val="0098148C"/>
    <w:rsid w:val="00AA02E4"/>
    <w:rsid w:val="00B60FD1"/>
    <w:rsid w:val="00B832AF"/>
    <w:rsid w:val="00E101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7D2234-6EF1-4396-B4A5-0E4AA21EB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widowControl w:val="0"/>
      <w:autoSpaceDE w:val="0"/>
      <w:autoSpaceDN w:val="0"/>
      <w:spacing w:before="240" w:after="0" w:line="240" w:lineRule="auto"/>
      <w:outlineLvl w:val="0"/>
    </w:pPr>
    <w:rPr>
      <w:rFonts w:ascii="Cambria" w:eastAsia="SimSun" w:hAnsi="Cambria"/>
      <w:color w:val="365F91"/>
      <w:sz w:val="32"/>
      <w:szCs w:val="32"/>
    </w:rPr>
  </w:style>
  <w:style w:type="paragraph" w:styleId="Heading2">
    <w:name w:val="heading 2"/>
    <w:basedOn w:val="Normal"/>
    <w:link w:val="Heading2Char"/>
    <w:uiPriority w:val="9"/>
    <w:qFormat/>
    <w:pPr>
      <w:widowControl w:val="0"/>
      <w:autoSpaceDE w:val="0"/>
      <w:autoSpaceDN w:val="0"/>
      <w:spacing w:after="0" w:line="240" w:lineRule="auto"/>
      <w:ind w:left="1660" w:hanging="732"/>
      <w:jc w:val="both"/>
      <w:outlineLvl w:val="1"/>
    </w:pPr>
    <w:rPr>
      <w:rFonts w:cs="Calibri"/>
      <w:b/>
      <w:bCs/>
      <w:sz w:val="24"/>
      <w:szCs w:val="24"/>
    </w:rPr>
  </w:style>
  <w:style w:type="paragraph" w:styleId="Heading3">
    <w:name w:val="heading 3"/>
    <w:basedOn w:val="Normal"/>
    <w:next w:val="Normal"/>
    <w:link w:val="Heading3Char"/>
    <w:uiPriority w:val="9"/>
    <w:qFormat/>
    <w:pPr>
      <w:keepNext/>
      <w:keepLines/>
      <w:spacing w:before="40" w:after="0"/>
      <w:outlineLvl w:val="2"/>
    </w:pPr>
    <w:rPr>
      <w:rFonts w:ascii="Cambria" w:eastAsia="SimSun" w:hAnsi="Cambria"/>
      <w:color w:val="243F60"/>
      <w:sz w:val="24"/>
      <w:szCs w:val="24"/>
      <w:lang w:val="en-GB" w:eastAsia="en-GB"/>
    </w:rPr>
  </w:style>
  <w:style w:type="paragraph" w:styleId="Heading4">
    <w:name w:val="heading 4"/>
    <w:basedOn w:val="Normal"/>
    <w:next w:val="Normal"/>
    <w:link w:val="Heading4Char"/>
    <w:uiPriority w:val="9"/>
    <w:qFormat/>
    <w:pPr>
      <w:keepNext/>
      <w:keepLines/>
      <w:widowControl w:val="0"/>
      <w:autoSpaceDE w:val="0"/>
      <w:autoSpaceDN w:val="0"/>
      <w:spacing w:before="40" w:after="0" w:line="240" w:lineRule="auto"/>
      <w:outlineLvl w:val="3"/>
    </w:pPr>
    <w:rPr>
      <w:rFonts w:ascii="Cambria" w:eastAsia="SimSun" w:hAnsi="Cambria"/>
      <w:i/>
      <w:iCs/>
      <w:color w:val="365F91"/>
    </w:rPr>
  </w:style>
  <w:style w:type="paragraph" w:styleId="Heading5">
    <w:name w:val="heading 5"/>
    <w:basedOn w:val="Normal"/>
    <w:next w:val="Normal"/>
    <w:link w:val="Heading5Char"/>
    <w:uiPriority w:val="9"/>
    <w:qFormat/>
    <w:pPr>
      <w:keepNext/>
      <w:keepLines/>
      <w:spacing w:before="40" w:after="0" w:line="276" w:lineRule="auto"/>
      <w:outlineLvl w:val="4"/>
    </w:pPr>
    <w:rPr>
      <w:rFonts w:ascii="Cambria" w:eastAsia="SimSun" w:hAnsi="Cambria"/>
      <w:color w:val="365F91"/>
    </w:rPr>
  </w:style>
  <w:style w:type="paragraph" w:styleId="Heading6">
    <w:name w:val="heading 6"/>
    <w:basedOn w:val="Normal"/>
    <w:next w:val="Normal"/>
    <w:link w:val="Heading6Char"/>
    <w:uiPriority w:val="9"/>
    <w:qFormat/>
    <w:pPr>
      <w:keepNext/>
      <w:keepLines/>
      <w:widowControl w:val="0"/>
      <w:autoSpaceDE w:val="0"/>
      <w:autoSpaceDN w:val="0"/>
      <w:spacing w:before="40" w:after="0" w:line="240" w:lineRule="auto"/>
      <w:outlineLvl w:val="5"/>
    </w:pPr>
    <w:rPr>
      <w:rFonts w:ascii="Cambria" w:eastAsia="SimSu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qFormat/>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qFormat/>
  </w:style>
  <w:style w:type="character" w:styleId="Hyperlink">
    <w:name w:val="Hyperlink"/>
    <w:basedOn w:val="DefaultParagraphFont"/>
    <w:uiPriority w:val="99"/>
    <w:qFormat/>
    <w:rPr>
      <w:color w:val="0000FF"/>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qFormat/>
    <w:rPr>
      <w:color w:val="605E5C"/>
      <w:shd w:val="clear" w:color="auto" w:fill="E1DFDD"/>
    </w:rPr>
  </w:style>
  <w:style w:type="character" w:styleId="FollowedHyperlink">
    <w:name w:val="FollowedHyperlink"/>
    <w:basedOn w:val="DefaultParagraphFont"/>
    <w:uiPriority w:val="99"/>
    <w:qFormat/>
    <w:rPr>
      <w:color w:val="800080"/>
      <w:u w:val="single"/>
    </w:rPr>
  </w:style>
  <w:style w:type="paragraph" w:styleId="NoSpacing">
    <w:name w:val="No Spacing"/>
    <w:link w:val="NoSpacingChar"/>
    <w:uiPriority w:val="1"/>
    <w:qFormat/>
    <w:pPr>
      <w:spacing w:after="0" w:line="240" w:lineRule="auto"/>
    </w:pPr>
    <w:rPr>
      <w:lang w:val="fr-FR"/>
    </w:rPr>
  </w:style>
  <w:style w:type="character" w:customStyle="1" w:styleId="css-x5hiaf">
    <w:name w:val="css-x5hiaf"/>
    <w:basedOn w:val="DefaultParagraphFont"/>
  </w:style>
  <w:style w:type="character" w:customStyle="1" w:styleId="css-rh820s">
    <w:name w:val="css-rh820s"/>
    <w:basedOn w:val="DefaultParagraphFont"/>
  </w:style>
  <w:style w:type="character" w:customStyle="1" w:styleId="css-0">
    <w:name w:val="css-0"/>
    <w:basedOn w:val="DefaultParagraphFont"/>
  </w:style>
  <w:style w:type="character" w:customStyle="1" w:styleId="css-15iwe0d">
    <w:name w:val="css-15iwe0d"/>
    <w:basedOn w:val="DefaultParagraphFont"/>
  </w:style>
  <w:style w:type="character" w:customStyle="1" w:styleId="css-2yp7ui">
    <w:name w:val="css-2yp7ui"/>
    <w:basedOn w:val="DefaultParagraphFont"/>
  </w:style>
  <w:style w:type="character" w:customStyle="1" w:styleId="css-1ber87j">
    <w:name w:val="css-1ber87j"/>
    <w:basedOn w:val="DefaultParagraphFont"/>
  </w:style>
  <w:style w:type="character" w:customStyle="1" w:styleId="css-1eh0vfs">
    <w:name w:val="css-1eh0vfs"/>
    <w:basedOn w:val="DefaultParagraphFont"/>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pPr>
      <w:spacing w:after="0" w:line="240" w:lineRule="auto"/>
    </w:pPr>
    <w:rPr>
      <w:rFonts w:eastAsia="SimSun" w:cs="Times New Roman"/>
      <w:sz w:val="20"/>
      <w:szCs w:val="20"/>
      <w:lang w:eastAsia="zh-C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pPr>
      <w:spacing w:after="0" w:line="240" w:lineRule="auto"/>
    </w:pPr>
    <w:rPr>
      <w:rFonts w:eastAsia="SimSun" w:cs="Times New Roman"/>
      <w:sz w:val="20"/>
      <w:szCs w:val="20"/>
      <w:lang w:eastAsia="zh-C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pPr>
      <w:spacing w:after="0" w:line="240" w:lineRule="auto"/>
    </w:pPr>
    <w:rPr>
      <w:rFonts w:eastAsia="SimSun" w:cs="Times New Roman"/>
      <w:sz w:val="20"/>
      <w:szCs w:val="20"/>
      <w:lang w:eastAsia="zh-C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pPr>
      <w:spacing w:after="0" w:line="240" w:lineRule="auto"/>
    </w:pPr>
    <w:rPr>
      <w:rFonts w:eastAsia="SimSun" w:cs="Times New Roman"/>
      <w:sz w:val="20"/>
      <w:szCs w:val="20"/>
      <w:lang w:eastAsia="zh-C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pPr>
      <w:spacing w:after="0" w:line="240" w:lineRule="auto"/>
    </w:pPr>
    <w:rPr>
      <w:rFonts w:eastAsia="SimSun" w:cs="Times New Roman"/>
      <w:sz w:val="20"/>
      <w:szCs w:val="20"/>
      <w:lang w:eastAsia="zh-C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pPr>
      <w:spacing w:after="0" w:line="240" w:lineRule="auto"/>
    </w:pPr>
    <w:rPr>
      <w:rFonts w:eastAsia="SimSun" w:cs="Times New Roman"/>
      <w:sz w:val="20"/>
      <w:szCs w:val="20"/>
      <w:lang w:eastAsia="zh-C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pPr>
      <w:spacing w:after="0" w:line="240" w:lineRule="auto"/>
    </w:pPr>
    <w:rPr>
      <w:rFonts w:eastAsia="SimSun" w:cs="Times New Roman"/>
      <w:sz w:val="20"/>
      <w:szCs w:val="20"/>
      <w:lang w:eastAsia="zh-CN"/>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customStyle="1" w:styleId="markedcontent">
    <w:name w:val="markedcontent"/>
  </w:style>
  <w:style w:type="character" w:customStyle="1" w:styleId="Heading1Char">
    <w:name w:val="Heading 1 Char"/>
    <w:basedOn w:val="DefaultParagraphFont"/>
    <w:link w:val="Heading1"/>
    <w:uiPriority w:val="9"/>
    <w:rPr>
      <w:rFonts w:ascii="Cambria" w:eastAsia="SimSun" w:hAnsi="Cambria" w:cs="SimSun"/>
      <w:color w:val="365F91"/>
      <w:sz w:val="32"/>
      <w:szCs w:val="32"/>
    </w:rPr>
  </w:style>
  <w:style w:type="character" w:customStyle="1" w:styleId="Heading2Char">
    <w:name w:val="Heading 2 Char"/>
    <w:basedOn w:val="DefaultParagraphFont"/>
    <w:link w:val="Heading2"/>
    <w:uiPriority w:val="9"/>
    <w:rPr>
      <w:rFonts w:cs="Calibri"/>
      <w:b/>
      <w:bCs/>
      <w:sz w:val="24"/>
      <w:szCs w:val="24"/>
    </w:rPr>
  </w:style>
  <w:style w:type="character" w:customStyle="1" w:styleId="Heading3Char">
    <w:name w:val="Heading 3 Char"/>
    <w:basedOn w:val="DefaultParagraphFont"/>
    <w:link w:val="Heading3"/>
    <w:uiPriority w:val="9"/>
    <w:rPr>
      <w:rFonts w:ascii="Cambria" w:eastAsia="SimSun" w:hAnsi="Cambria" w:cs="SimSun"/>
      <w:color w:val="243F60"/>
      <w:sz w:val="24"/>
      <w:szCs w:val="24"/>
      <w:lang w:val="en-GB" w:eastAsia="en-GB"/>
    </w:rPr>
  </w:style>
  <w:style w:type="character" w:customStyle="1" w:styleId="Heading4Char">
    <w:name w:val="Heading 4 Char"/>
    <w:basedOn w:val="DefaultParagraphFont"/>
    <w:link w:val="Heading4"/>
    <w:uiPriority w:val="9"/>
    <w:rPr>
      <w:rFonts w:ascii="Cambria" w:eastAsia="SimSun" w:hAnsi="Cambria" w:cs="SimSun"/>
      <w:i/>
      <w:iCs/>
      <w:color w:val="365F91"/>
    </w:rPr>
  </w:style>
  <w:style w:type="character" w:customStyle="1" w:styleId="Heading6Char">
    <w:name w:val="Heading 6 Char"/>
    <w:basedOn w:val="DefaultParagraphFont"/>
    <w:link w:val="Heading6"/>
    <w:uiPriority w:val="9"/>
    <w:rPr>
      <w:rFonts w:ascii="Cambria" w:eastAsia="SimSun" w:hAnsi="Cambria" w:cs="SimSun"/>
      <w:color w:val="243F60"/>
    </w:rPr>
  </w:style>
  <w:style w:type="paragraph" w:styleId="BodyText">
    <w:name w:val="Body Text"/>
    <w:basedOn w:val="Normal"/>
    <w:link w:val="BodyTextChar"/>
    <w:qFormat/>
    <w:pPr>
      <w:widowControl w:val="0"/>
      <w:autoSpaceDE w:val="0"/>
      <w:autoSpaceDN w:val="0"/>
      <w:spacing w:after="0" w:line="240" w:lineRule="auto"/>
    </w:pPr>
    <w:rPr>
      <w:rFonts w:ascii="Garamond" w:eastAsia="Garamond" w:hAnsi="Garamond" w:cs="Garamond"/>
      <w:b/>
      <w:bCs/>
    </w:rPr>
  </w:style>
  <w:style w:type="character" w:customStyle="1" w:styleId="BodyTextChar">
    <w:name w:val="Body Text Char"/>
    <w:basedOn w:val="DefaultParagraphFont"/>
    <w:link w:val="BodyText"/>
    <w:rPr>
      <w:rFonts w:ascii="Garamond" w:eastAsia="Garamond" w:hAnsi="Garamond" w:cs="Garamond"/>
      <w:b/>
      <w:bCs/>
    </w:rPr>
  </w:style>
  <w:style w:type="paragraph" w:customStyle="1" w:styleId="TableParagraph">
    <w:name w:val="Table Paragraph"/>
    <w:basedOn w:val="Normal"/>
    <w:uiPriority w:val="1"/>
    <w:qFormat/>
    <w:pPr>
      <w:widowControl w:val="0"/>
      <w:autoSpaceDE w:val="0"/>
      <w:autoSpaceDN w:val="0"/>
      <w:spacing w:after="0" w:line="227" w:lineRule="exact"/>
      <w:ind w:left="107"/>
    </w:pPr>
    <w:rPr>
      <w:rFonts w:ascii="Garamond" w:eastAsia="Garamond" w:hAnsi="Garamond" w:cs="Garamond"/>
    </w:rPr>
  </w:style>
  <w:style w:type="paragraph" w:styleId="NormalWeb">
    <w:name w:val="Normal (Web)"/>
    <w:basedOn w:val="Normal"/>
    <w:uiPriority w:val="99"/>
    <w:qFormat/>
    <w:pPr>
      <w:spacing w:before="100" w:beforeAutospacing="1" w:after="100" w:afterAutospacing="1" w:line="240" w:lineRule="auto"/>
    </w:pPr>
    <w:rPr>
      <w:rFonts w:ascii="Times New Roman" w:eastAsia="SimSun" w:hAnsi="Times New Roman" w:cs="Times New Roman"/>
      <w:sz w:val="24"/>
      <w:szCs w:val="24"/>
      <w:lang w:val="en-GB" w:eastAsia="en-GB"/>
    </w:rPr>
  </w:style>
  <w:style w:type="character" w:styleId="HTMLCite">
    <w:name w:val="HTML Cite"/>
    <w:basedOn w:val="DefaultParagraphFont"/>
    <w:uiPriority w:val="99"/>
    <w:rPr>
      <w:i/>
      <w:iCs/>
    </w:rPr>
  </w:style>
  <w:style w:type="character" w:customStyle="1" w:styleId="syn">
    <w:name w:val="syn"/>
    <w:basedOn w:val="DefaultParagraphFont"/>
  </w:style>
  <w:style w:type="character" w:customStyle="1" w:styleId="NoSpacingChar">
    <w:name w:val="No Spacing Char"/>
    <w:basedOn w:val="DefaultParagraphFont"/>
    <w:link w:val="NoSpacing"/>
    <w:uiPriority w:val="1"/>
    <w:rPr>
      <w:rFonts w:ascii="Calibri" w:eastAsia="Calibri" w:hAnsi="Calibri" w:cs="SimSun"/>
      <w:lang w:val="fr-FR"/>
    </w:rPr>
  </w:style>
  <w:style w:type="character" w:customStyle="1" w:styleId="hlfld-contribauthor">
    <w:name w:val="hlfld-contribauthor"/>
    <w:basedOn w:val="DefaultParagraphFont"/>
  </w:style>
  <w:style w:type="character" w:customStyle="1" w:styleId="mw-headline">
    <w:name w:val="mw-headline"/>
    <w:basedOn w:val="DefaultParagraphFont"/>
  </w:style>
  <w:style w:type="character" w:customStyle="1" w:styleId="reference-accessdate">
    <w:name w:val="reference-accessdate"/>
    <w:basedOn w:val="DefaultParagraphFont"/>
  </w:style>
  <w:style w:type="character" w:customStyle="1" w:styleId="nowrap">
    <w:name w:val="nowrap"/>
    <w:basedOn w:val="DefaultParagraphFont"/>
  </w:style>
  <w:style w:type="character" w:customStyle="1" w:styleId="BodyTextChar1">
    <w:name w:val="Body Text Char1"/>
    <w:basedOn w:val="DefaultParagraphFont"/>
    <w:uiPriority w:val="99"/>
  </w:style>
  <w:style w:type="character" w:customStyle="1" w:styleId="ChapterTitleIntechOpenChar">
    <w:name w:val="Chapter Title IntechOpen Char"/>
    <w:basedOn w:val="DefaultParagraphFont"/>
    <w:link w:val="ChapterTitleIntechOpen"/>
    <w:qFormat/>
    <w:rPr>
      <w:rFonts w:ascii="FS Brabo" w:hAnsi="FS Brabo"/>
      <w:sz w:val="48"/>
    </w:rPr>
  </w:style>
  <w:style w:type="character" w:customStyle="1" w:styleId="AbstractandHeaderIntechOpenChar">
    <w:name w:val="Abstract and Header IntechOpen Char"/>
    <w:basedOn w:val="DefaultParagraphFont"/>
    <w:link w:val="AbstractandHeaderIntechOpen"/>
    <w:qFormat/>
    <w:rPr>
      <w:rFonts w:ascii="FS Brabo" w:hAnsi="FS Brabo"/>
      <w:b/>
      <w:color w:val="E4322B"/>
    </w:rPr>
  </w:style>
  <w:style w:type="character" w:customStyle="1" w:styleId="BodyTextIntechOpenChar">
    <w:name w:val="Body Text IntechOpen Char"/>
    <w:basedOn w:val="DefaultParagraphFont"/>
    <w:link w:val="BodyTextIntechOpen"/>
    <w:qFormat/>
    <w:rPr>
      <w:rFonts w:ascii="FS Brabo" w:hAnsi="FS Brabo"/>
      <w:sz w:val="20"/>
    </w:rPr>
  </w:style>
  <w:style w:type="character" w:customStyle="1" w:styleId="KeywordsIntechOpenChar">
    <w:name w:val="Keywords IntechOpen Char"/>
    <w:basedOn w:val="DefaultParagraphFont"/>
    <w:link w:val="KeywordsIntechOpen"/>
    <w:qFormat/>
    <w:rPr>
      <w:rFonts w:ascii="FS Brabo" w:hAnsi="FS Brabo"/>
      <w:sz w:val="20"/>
    </w:rPr>
  </w:style>
  <w:style w:type="character" w:customStyle="1" w:styleId="InternetLink">
    <w:name w:val="Internet Link"/>
    <w:basedOn w:val="DefaultParagraphFont"/>
    <w:uiPriority w:val="99"/>
    <w:rPr>
      <w:color w:val="0000FF"/>
      <w:u w:val="single"/>
    </w:rPr>
  </w:style>
  <w:style w:type="character" w:customStyle="1" w:styleId="Heading1IntechOpenChar">
    <w:name w:val="Heading 1 IntechOpen Char"/>
    <w:basedOn w:val="DefaultParagraphFont"/>
    <w:link w:val="Heading1IntechOpen"/>
    <w:qFormat/>
    <w:rPr>
      <w:rFonts w:ascii="FS Brabo" w:hAnsi="FS Brabo"/>
      <w:b/>
    </w:rPr>
  </w:style>
  <w:style w:type="character" w:customStyle="1" w:styleId="Heading2IntechOpenChar">
    <w:name w:val="Heading 2 IntechOpen Char"/>
    <w:basedOn w:val="DefaultParagraphFont"/>
    <w:link w:val="Heading2IntechOpen"/>
    <w:qFormat/>
    <w:rPr>
      <w:rFonts w:ascii="FS Brabo" w:hAnsi="FS Brabo"/>
      <w:b/>
      <w:sz w:val="20"/>
    </w:rPr>
  </w:style>
  <w:style w:type="character" w:customStyle="1" w:styleId="Heading3IntechOpenChar">
    <w:name w:val="Heading 3 IntechOpen Char"/>
    <w:basedOn w:val="DefaultParagraphFont"/>
    <w:link w:val="Heading3IntechOpen"/>
    <w:qFormat/>
    <w:rPr>
      <w:rFonts w:ascii="FS Brabo" w:hAnsi="FS Brabo"/>
      <w:i/>
      <w:sz w:val="20"/>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List">
    <w:name w:val="List"/>
    <w:basedOn w:val="BodyText"/>
    <w:pPr>
      <w:widowControl/>
      <w:autoSpaceDE/>
      <w:autoSpaceDN/>
      <w:spacing w:after="140" w:line="276" w:lineRule="auto"/>
    </w:pPr>
    <w:rPr>
      <w:rFonts w:ascii="Calibri" w:eastAsia="Calibri" w:hAnsi="Calibri" w:cs="Lucida Sans"/>
      <w:b w:val="0"/>
      <w:bCs w:val="0"/>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customStyle="1" w:styleId="ChapterTitleIntechOpen">
    <w:name w:val="Chapter Title IntechOpen"/>
    <w:link w:val="ChapterTitleIntechOpenChar"/>
    <w:qFormat/>
    <w:pPr>
      <w:spacing w:after="425"/>
    </w:pPr>
    <w:rPr>
      <w:rFonts w:ascii="FS Brabo" w:hAnsi="FS Brabo"/>
      <w:sz w:val="48"/>
    </w:rPr>
  </w:style>
  <w:style w:type="paragraph" w:customStyle="1" w:styleId="AbstractandHeaderIntechOpen">
    <w:name w:val="Abstract and Header IntechOpen"/>
    <w:link w:val="AbstractandHeaderIntechOpenChar"/>
    <w:qFormat/>
    <w:pPr>
      <w:spacing w:after="340"/>
    </w:pPr>
    <w:rPr>
      <w:rFonts w:ascii="FS Brabo" w:hAnsi="FS Brabo"/>
      <w:b/>
      <w:color w:val="E4322B"/>
    </w:rPr>
  </w:style>
  <w:style w:type="paragraph" w:customStyle="1" w:styleId="BodyTextIntechOpen">
    <w:name w:val="Body Text IntechOpen"/>
    <w:link w:val="BodyTextIntechOpenChar"/>
    <w:qFormat/>
    <w:pPr>
      <w:spacing w:after="0" w:line="240" w:lineRule="auto"/>
      <w:ind w:firstLine="284"/>
    </w:pPr>
    <w:rPr>
      <w:rFonts w:ascii="FS Brabo" w:hAnsi="FS Brabo"/>
      <w:sz w:val="20"/>
    </w:rPr>
  </w:style>
  <w:style w:type="paragraph" w:customStyle="1" w:styleId="KeywordsIntechOpen">
    <w:name w:val="Keywords IntechOpen"/>
    <w:link w:val="KeywordsIntechOpenChar"/>
    <w:qFormat/>
    <w:pPr>
      <w:spacing w:after="567" w:line="240" w:lineRule="auto"/>
    </w:pPr>
    <w:rPr>
      <w:rFonts w:ascii="FS Brabo" w:hAnsi="FS Brabo"/>
      <w:sz w:val="20"/>
    </w:rPr>
  </w:style>
  <w:style w:type="paragraph" w:customStyle="1" w:styleId="Heading1IntechOpen">
    <w:name w:val="Heading 1 IntechOpen"/>
    <w:link w:val="Heading1IntechOpenChar"/>
    <w:qFormat/>
    <w:pPr>
      <w:spacing w:before="369" w:after="369" w:line="240" w:lineRule="auto"/>
    </w:pPr>
    <w:rPr>
      <w:rFonts w:ascii="FS Brabo" w:hAnsi="FS Brabo"/>
      <w:b/>
    </w:rPr>
  </w:style>
  <w:style w:type="paragraph" w:customStyle="1" w:styleId="Heading2IntechOpen">
    <w:name w:val="Heading 2 IntechOpen"/>
    <w:link w:val="Heading2IntechOpenChar"/>
    <w:qFormat/>
    <w:pPr>
      <w:spacing w:before="369" w:after="369" w:line="240" w:lineRule="auto"/>
    </w:pPr>
    <w:rPr>
      <w:rFonts w:ascii="FS Brabo" w:hAnsi="FS Brabo"/>
      <w:b/>
      <w:sz w:val="20"/>
    </w:rPr>
  </w:style>
  <w:style w:type="paragraph" w:customStyle="1" w:styleId="Heading3IntechOpen">
    <w:name w:val="Heading 3 IntechOpen"/>
    <w:link w:val="Heading3IntechOpenChar"/>
    <w:qFormat/>
    <w:pPr>
      <w:spacing w:before="369" w:after="369" w:line="240" w:lineRule="auto"/>
    </w:pPr>
    <w:rPr>
      <w:rFonts w:ascii="FS Brabo" w:hAnsi="FS Brabo"/>
      <w:i/>
      <w:sz w:val="20"/>
    </w:rPr>
  </w:style>
  <w:style w:type="paragraph" w:styleId="FootnoteText">
    <w:name w:val="footnote text"/>
    <w:basedOn w:val="Normal"/>
    <w:link w:val="FootnoteTextChar"/>
    <w:uiPriority w:val="99"/>
    <w:pPr>
      <w:spacing w:after="0" w:line="240" w:lineRule="auto"/>
      <w:jc w:val="both"/>
    </w:pPr>
    <w:rPr>
      <w:rFonts w:cs="Times New Roman"/>
      <w:sz w:val="20"/>
      <w:szCs w:val="20"/>
      <w:lang w:val="en-GB"/>
    </w:rPr>
  </w:style>
  <w:style w:type="character" w:customStyle="1" w:styleId="FootnoteTextChar">
    <w:name w:val="Footnote Text Char"/>
    <w:basedOn w:val="DefaultParagraphFont"/>
    <w:link w:val="FootnoteText"/>
    <w:uiPriority w:val="99"/>
    <w:rPr>
      <w:rFonts w:cs="Times New Roman"/>
      <w:sz w:val="20"/>
      <w:szCs w:val="20"/>
      <w:lang w:val="en-GB"/>
    </w:rPr>
  </w:style>
  <w:style w:type="character" w:customStyle="1" w:styleId="Heading5Char">
    <w:name w:val="Heading 5 Char"/>
    <w:basedOn w:val="DefaultParagraphFont"/>
    <w:link w:val="Heading5"/>
    <w:uiPriority w:val="9"/>
    <w:rPr>
      <w:rFonts w:ascii="Cambria" w:eastAsia="SimSun" w:hAnsi="Cambria" w:cs="SimSun"/>
      <w:color w:val="365F91"/>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PlaceholderText">
    <w:name w:val="Placeholder Text"/>
    <w:basedOn w:val="DefaultParagraphFont"/>
    <w:uiPriority w:val="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lyndamara240@gmail.com" TargetMode="External"/><Relationship Id="rId13" Type="http://schemas.openxmlformats.org/officeDocument/2006/relationships/hyperlink" Target="https://www.sparknotes.com/lit/illiad/summary"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udy.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ytime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arknotes.com" TargetMode="External"/><Relationship Id="rId5" Type="http://schemas.openxmlformats.org/officeDocument/2006/relationships/webSettings" Target="webSettings.xml"/><Relationship Id="rId15" Type="http://schemas.openxmlformats.org/officeDocument/2006/relationships/hyperlink" Target="https://eu.docworkspace.com/d/s/Nal-qeArrv6709" TargetMode="External"/><Relationship Id="rId10" Type="http://schemas.openxmlformats.org/officeDocument/2006/relationships/hyperlink" Target="https://www.britannnica.com/art/hamarti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docworksspace.com/d/SLH21-qeArcd770G" TargetMode="External"/><Relationship Id="rId14" Type="http://schemas.openxmlformats.org/officeDocument/2006/relationships/hyperlink" Target="https://books.goggle.com.ng/books/about/to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70191-B61C-413A-B827-894D002CA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5150</Words>
  <Characters>29357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INTERDISCIPLINARY JOURNAL OF AFRICAN &amp; ASIAN STUDIES (IJAAS) VOL. 9 NO. 3, 2023 (ISSN: 2504-8694), Indexed in Google Scholar (Email: ijaasng@gmail.com) Nnamdi Azikiwe University, Awka, Nigeria</vt:lpstr>
    </vt:vector>
  </TitlesOfParts>
  <Company/>
  <LinksUpToDate>false</LinksUpToDate>
  <CharactersWithSpaces>34439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INTERDISCIPLINARY JOURNAL OF AFRICAN &amp; ASIAN STUDIES (IJAAS) VOL. 9 NO. 3, 2023 (ISSN: 2504-8694), Indexed in Google Scholar (Email: ijaasng@gmail.com) Nnamdi Azikiwe University, Awka, Nigeria</dc:title>
  <dc:creator>AGBENE</dc:creator>
  <cp:lastModifiedBy>Comment</cp:lastModifiedBy>
  <cp:revision>3</cp:revision>
  <cp:lastPrinted>2025-04-13T07:29:00Z</cp:lastPrinted>
  <dcterms:created xsi:type="dcterms:W3CDTF">2025-04-13T07:29:00Z</dcterms:created>
  <dcterms:modified xsi:type="dcterms:W3CDTF">2025-04-13T07:38:00Z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044bc836597943fa9f3050025d6010ad</vt:lpwstr>
  </property>
</Properties>
</file>